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F9562" w14:textId="77777777" w:rsidR="00581B43" w:rsidRDefault="00581B43" w:rsidP="00581B43">
      <w:pPr>
        <w:spacing w:after="0" w:line="240" w:lineRule="auto"/>
        <w:jc w:val="center"/>
        <w:rPr>
          <w:rFonts w:eastAsia="Times New Roman" w:cs="Arial"/>
          <w:bCs/>
          <w:color w:val="000000"/>
          <w:sz w:val="24"/>
          <w:szCs w:val="24"/>
        </w:rPr>
      </w:pPr>
      <w:r>
        <w:rPr>
          <w:rFonts w:eastAsia="Times New Roman" w:cs="Arial"/>
          <w:bCs/>
          <w:color w:val="000000"/>
          <w:sz w:val="24"/>
          <w:szCs w:val="24"/>
        </w:rPr>
        <w:t>MUNICÍPIO DE CONTAGEM - MG</w:t>
      </w:r>
    </w:p>
    <w:p w14:paraId="4E528307" w14:textId="77777777" w:rsidR="00581B43" w:rsidRPr="00CA653F" w:rsidRDefault="00581B43" w:rsidP="00581B43">
      <w:pPr>
        <w:spacing w:after="0" w:line="240" w:lineRule="auto"/>
        <w:jc w:val="center"/>
        <w:rPr>
          <w:rFonts w:eastAsia="Times New Roman" w:cs="Arial"/>
          <w:sz w:val="24"/>
          <w:szCs w:val="24"/>
        </w:rPr>
      </w:pPr>
      <w:r w:rsidRPr="00CA653F">
        <w:rPr>
          <w:rFonts w:eastAsia="Times New Roman" w:cs="Arial"/>
          <w:bCs/>
          <w:color w:val="000000"/>
          <w:sz w:val="24"/>
          <w:szCs w:val="24"/>
        </w:rPr>
        <w:t>LEI DE DIRETRIZES ORÇAMENTÁRIAS</w:t>
      </w:r>
    </w:p>
    <w:p w14:paraId="4E7986BF" w14:textId="77777777" w:rsidR="00581B43" w:rsidRPr="00CA653F" w:rsidRDefault="00581B43" w:rsidP="00581B43">
      <w:pPr>
        <w:spacing w:after="0" w:line="240" w:lineRule="auto"/>
        <w:jc w:val="center"/>
        <w:rPr>
          <w:rFonts w:eastAsia="Times New Roman" w:cs="Arial"/>
          <w:sz w:val="24"/>
          <w:szCs w:val="24"/>
        </w:rPr>
      </w:pPr>
      <w:r w:rsidRPr="00CA653F">
        <w:rPr>
          <w:rFonts w:eastAsia="Times New Roman" w:cs="Arial"/>
          <w:bCs/>
          <w:color w:val="000000"/>
          <w:sz w:val="24"/>
          <w:szCs w:val="24"/>
        </w:rPr>
        <w:t>ANEXO DE RISCOS FISCAIS</w:t>
      </w:r>
    </w:p>
    <w:p w14:paraId="27333A1C" w14:textId="77777777" w:rsidR="00581B43" w:rsidRDefault="00581B43" w:rsidP="00581B43">
      <w:pPr>
        <w:spacing w:after="0" w:line="240" w:lineRule="auto"/>
        <w:jc w:val="center"/>
        <w:rPr>
          <w:rFonts w:eastAsia="Times New Roman" w:cs="Arial"/>
          <w:b/>
          <w:bCs/>
          <w:color w:val="000000"/>
          <w:sz w:val="24"/>
          <w:szCs w:val="24"/>
        </w:rPr>
      </w:pPr>
      <w:r w:rsidRPr="00084592">
        <w:rPr>
          <w:rFonts w:eastAsia="Times New Roman" w:cs="Arial"/>
          <w:b/>
          <w:bCs/>
          <w:color w:val="000000"/>
          <w:sz w:val="24"/>
          <w:szCs w:val="24"/>
        </w:rPr>
        <w:t xml:space="preserve">DEMONSTRATIVO DE </w:t>
      </w:r>
      <w:r>
        <w:rPr>
          <w:rFonts w:eastAsia="Times New Roman" w:cs="Arial"/>
          <w:b/>
          <w:bCs/>
          <w:color w:val="000000"/>
          <w:sz w:val="24"/>
          <w:szCs w:val="24"/>
        </w:rPr>
        <w:t>RISCOS FISCAIS E PROVIDÊNCIAS</w:t>
      </w:r>
    </w:p>
    <w:p w14:paraId="73490D26" w14:textId="77777777" w:rsidR="00581B43" w:rsidRPr="00CA653F" w:rsidRDefault="00581B43" w:rsidP="00581B43">
      <w:pPr>
        <w:spacing w:after="0" w:line="240" w:lineRule="auto"/>
        <w:jc w:val="center"/>
        <w:rPr>
          <w:rFonts w:eastAsia="Times New Roman" w:cs="Arial"/>
          <w:sz w:val="24"/>
          <w:szCs w:val="24"/>
        </w:rPr>
      </w:pPr>
      <w:r>
        <w:rPr>
          <w:rFonts w:eastAsia="Times New Roman" w:cs="Arial"/>
          <w:bCs/>
          <w:color w:val="000000"/>
          <w:sz w:val="24"/>
          <w:szCs w:val="24"/>
        </w:rPr>
        <w:t>2019</w:t>
      </w:r>
    </w:p>
    <w:p w14:paraId="548A67DC" w14:textId="77777777" w:rsidR="00581B43" w:rsidRPr="00CA653F" w:rsidRDefault="00581B43" w:rsidP="00581B43">
      <w:pPr>
        <w:spacing w:after="0" w:line="240" w:lineRule="auto"/>
        <w:jc w:val="center"/>
        <w:rPr>
          <w:rFonts w:eastAsia="Times New Roman" w:cs="Arial"/>
          <w:sz w:val="24"/>
          <w:szCs w:val="24"/>
        </w:rPr>
      </w:pPr>
      <w:r w:rsidRPr="00CA653F">
        <w:rPr>
          <w:rFonts w:eastAsia="Times New Roman" w:cs="Arial"/>
          <w:bCs/>
          <w:color w:val="000000"/>
          <w:sz w:val="24"/>
          <w:szCs w:val="24"/>
        </w:rPr>
        <w:t xml:space="preserve">(Art. 4º, §3º, da Lei Complementar nº 101, de 04/05/2000) </w:t>
      </w:r>
    </w:p>
    <w:p w14:paraId="5DAB6C7B" w14:textId="2B51D7DD" w:rsidR="004C12AF" w:rsidRDefault="004C12AF" w:rsidP="00125E02">
      <w:pPr>
        <w:spacing w:after="0" w:line="240" w:lineRule="auto"/>
        <w:rPr>
          <w:rFonts w:eastAsia="Times New Roman" w:cstheme="minorHAnsi"/>
          <w:sz w:val="24"/>
          <w:szCs w:val="24"/>
          <w:lang w:eastAsia="pt-BR"/>
        </w:rPr>
      </w:pPr>
    </w:p>
    <w:p w14:paraId="7DD2F3F3" w14:textId="77777777" w:rsidR="00581B43" w:rsidRPr="00B26B74" w:rsidRDefault="00581B43" w:rsidP="00125E02">
      <w:pPr>
        <w:spacing w:after="0" w:line="240" w:lineRule="auto"/>
        <w:rPr>
          <w:rFonts w:eastAsia="Times New Roman" w:cstheme="minorHAnsi"/>
          <w:sz w:val="24"/>
          <w:szCs w:val="24"/>
          <w:lang w:eastAsia="pt-BR"/>
        </w:rPr>
      </w:pPr>
    </w:p>
    <w:p w14:paraId="069F0F66"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b/>
          <w:bCs/>
          <w:color w:val="000000"/>
          <w:sz w:val="24"/>
          <w:szCs w:val="24"/>
          <w:u w:val="single"/>
          <w:lang w:eastAsia="pt-BR"/>
        </w:rPr>
        <w:t xml:space="preserve">I - INTRODUÇÃO </w:t>
      </w:r>
    </w:p>
    <w:p w14:paraId="02EB378F"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72AE5CEF" w14:textId="30768BE9"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color w:val="000000"/>
          <w:sz w:val="24"/>
          <w:szCs w:val="24"/>
          <w:lang w:eastAsia="pt-BR"/>
        </w:rPr>
        <w:t xml:space="preserve">A fim de prover transparência na apuração dos resultados fiscais dos governos, a Lei Complementar nº 101, de 4 de </w:t>
      </w:r>
      <w:r w:rsidR="00581B43">
        <w:rPr>
          <w:rFonts w:eastAsia="Times New Roman" w:cstheme="minorHAnsi"/>
          <w:color w:val="000000"/>
          <w:sz w:val="24"/>
          <w:szCs w:val="24"/>
          <w:lang w:eastAsia="pt-BR"/>
        </w:rPr>
        <w:t>m</w:t>
      </w:r>
      <w:r w:rsidRPr="00B26B74">
        <w:rPr>
          <w:rFonts w:eastAsia="Times New Roman" w:cstheme="minorHAnsi"/>
          <w:color w:val="000000"/>
          <w:sz w:val="24"/>
          <w:szCs w:val="24"/>
          <w:lang w:eastAsia="pt-BR"/>
        </w:rPr>
        <w:t xml:space="preserve">aio de 2000, denominada Lei de Responsabilidade Fiscal - LRF, estabelece que a Lei de Diretrizes Orçamentárias - LDO deve conter Anexo de Riscos Fiscais, com a avaliação dos passivos contingentes e de outros riscos capazes de afetar negativamente as contas públicas e, consequentemente, as metas fiscais estabelecidas em lei. </w:t>
      </w:r>
    </w:p>
    <w:p w14:paraId="6A05A809"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33993687"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color w:val="000000"/>
          <w:sz w:val="24"/>
          <w:szCs w:val="24"/>
          <w:lang w:eastAsia="pt-BR"/>
        </w:rPr>
        <w:t xml:space="preserve">Os passivos contingentes são obrigações que surgem em função de acontecimentos futuros e incertos e não totalmente sob controle da municipalidade, ou de fatos passados ainda não reconhecidos. Já os outros riscos envolvem, principalmente, alterações do cenário macroeconômico. </w:t>
      </w:r>
    </w:p>
    <w:p w14:paraId="5A39BBE3"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1E9A35E2"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color w:val="000000"/>
          <w:sz w:val="24"/>
          <w:szCs w:val="24"/>
          <w:lang w:eastAsia="pt-BR"/>
        </w:rPr>
        <w:t xml:space="preserve">De forma a estruturar a análise, serão utilizadas duas categorias: riscos de caráter orçamentário e riscos vinculados a dívidas, que incluem os precatórios. </w:t>
      </w:r>
    </w:p>
    <w:p w14:paraId="41C8F396" w14:textId="77777777" w:rsidR="004C12AF" w:rsidRPr="00B26B74" w:rsidRDefault="004C12AF" w:rsidP="00125E02">
      <w:pPr>
        <w:spacing w:after="0" w:line="240" w:lineRule="auto"/>
        <w:rPr>
          <w:rFonts w:eastAsia="Times New Roman" w:cstheme="minorHAnsi"/>
          <w:sz w:val="24"/>
          <w:szCs w:val="24"/>
          <w:lang w:eastAsia="pt-BR"/>
        </w:rPr>
      </w:pPr>
    </w:p>
    <w:p w14:paraId="71A502CC"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b/>
          <w:bCs/>
          <w:color w:val="000000"/>
          <w:sz w:val="24"/>
          <w:szCs w:val="24"/>
          <w:u w:val="single"/>
          <w:lang w:eastAsia="pt-BR"/>
        </w:rPr>
        <w:t>II - RISCOS ORÇAMENTÁRIOS</w:t>
      </w:r>
    </w:p>
    <w:p w14:paraId="72A3D3EC"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643D8204"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color w:val="000000"/>
          <w:sz w:val="24"/>
          <w:szCs w:val="24"/>
          <w:lang w:eastAsia="pt-BR"/>
        </w:rPr>
        <w:t xml:space="preserve">Os Riscos Orçamentários representam a possibilidade de as receitas estimadas e despesas fixadas na Lei Orçamentária não se confirmarem no exercício financeiro, por conta de fatos imprevisíveis no momento da elaboração da peça orçamentária. </w:t>
      </w:r>
    </w:p>
    <w:p w14:paraId="0D0B940D" w14:textId="77777777" w:rsidR="004C12AF" w:rsidRPr="00B26B74" w:rsidRDefault="004C12AF" w:rsidP="00125E02">
      <w:pPr>
        <w:spacing w:after="0" w:line="240" w:lineRule="auto"/>
        <w:rPr>
          <w:rFonts w:eastAsia="Times New Roman" w:cstheme="minorHAnsi"/>
          <w:sz w:val="24"/>
          <w:szCs w:val="24"/>
          <w:lang w:eastAsia="pt-BR"/>
        </w:rPr>
      </w:pPr>
    </w:p>
    <w:p w14:paraId="3F7557AC"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b/>
          <w:bCs/>
          <w:i/>
          <w:iCs/>
          <w:color w:val="000000"/>
          <w:sz w:val="24"/>
          <w:szCs w:val="24"/>
          <w:lang w:eastAsia="pt-BR"/>
        </w:rPr>
        <w:t xml:space="preserve">II.1 - Riscos decorrentes da previsão da receita </w:t>
      </w:r>
    </w:p>
    <w:p w14:paraId="0E27B00A"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7BAAFB24" w14:textId="77777777" w:rsidR="004C12AF" w:rsidRDefault="004C12AF" w:rsidP="00125E02">
      <w:pPr>
        <w:spacing w:after="0" w:line="240" w:lineRule="auto"/>
        <w:jc w:val="both"/>
        <w:rPr>
          <w:rFonts w:eastAsia="Times New Roman" w:cstheme="minorHAnsi"/>
          <w:color w:val="000000"/>
          <w:sz w:val="24"/>
          <w:szCs w:val="24"/>
          <w:lang w:eastAsia="pt-BR"/>
        </w:rPr>
      </w:pPr>
      <w:r w:rsidRPr="00B26B74">
        <w:rPr>
          <w:rFonts w:eastAsia="Times New Roman" w:cstheme="minorHAnsi"/>
          <w:color w:val="000000"/>
          <w:sz w:val="24"/>
          <w:szCs w:val="24"/>
          <w:lang w:eastAsia="pt-BR"/>
        </w:rPr>
        <w:t xml:space="preserve">Circunstâncias imprevisíveis no contexto econômico podem afetar a arrecadação, com consequências nas metas de resultados primário e nominal, visto que os índices utilizados para a previsão das receitas podem sofrer alterações ao longo do exercício. </w:t>
      </w:r>
    </w:p>
    <w:p w14:paraId="60061E4C" w14:textId="77777777" w:rsidR="00592F65" w:rsidRPr="00B26B74" w:rsidRDefault="00592F65" w:rsidP="00125E02">
      <w:pPr>
        <w:spacing w:after="0" w:line="240" w:lineRule="auto"/>
        <w:jc w:val="both"/>
        <w:rPr>
          <w:rFonts w:eastAsia="Times New Roman" w:cstheme="minorHAnsi"/>
          <w:sz w:val="24"/>
          <w:szCs w:val="24"/>
          <w:lang w:eastAsia="pt-BR"/>
        </w:rPr>
      </w:pPr>
    </w:p>
    <w:p w14:paraId="32DB7E81"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color w:val="000000"/>
          <w:sz w:val="24"/>
          <w:szCs w:val="24"/>
          <w:lang w:eastAsia="pt-BR"/>
        </w:rPr>
        <w:t xml:space="preserve">Um dos principais impactos tem origem no comportamento do nível de atividade econômica, medido pela taxa de crescimento real do Produto Interno Bruto – PIB. O PIB serve como parâmetro de evolução da maioria das receitas, destacando-se, prioritariamente, as receitas tributárias, que representam a maior parcela do ingresso de recursos. </w:t>
      </w:r>
      <w:r w:rsidR="00B26B74" w:rsidRPr="00B26B74">
        <w:rPr>
          <w:rFonts w:eastAsia="Times New Roman" w:cstheme="minorHAnsi"/>
          <w:color w:val="000000"/>
          <w:sz w:val="24"/>
          <w:szCs w:val="24"/>
          <w:lang w:eastAsia="pt-BR"/>
        </w:rPr>
        <w:tab/>
      </w:r>
    </w:p>
    <w:p w14:paraId="44EAFD9C"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04172CBC" w14:textId="77777777" w:rsidR="00144EEE" w:rsidRPr="00B26B74" w:rsidRDefault="004C12AF" w:rsidP="00125E02">
      <w:pPr>
        <w:spacing w:after="0" w:line="240" w:lineRule="auto"/>
        <w:jc w:val="both"/>
        <w:rPr>
          <w:rFonts w:eastAsia="Times New Roman" w:cstheme="minorHAnsi"/>
          <w:color w:val="000000"/>
          <w:sz w:val="24"/>
          <w:szCs w:val="24"/>
          <w:lang w:eastAsia="pt-BR"/>
        </w:rPr>
      </w:pPr>
      <w:r w:rsidRPr="00B26B74">
        <w:rPr>
          <w:rFonts w:eastAsia="Times New Roman" w:cstheme="minorHAnsi"/>
          <w:color w:val="000000"/>
          <w:sz w:val="24"/>
          <w:szCs w:val="24"/>
          <w:lang w:eastAsia="pt-BR"/>
        </w:rPr>
        <w:t xml:space="preserve">Ainda a respeito do nível de atividade econômica, destaca-se o PIB Serviços, que tem forte influência nas receitas municipais, visto que a arrecadação do Imposto Sobre Serviços de Qualquer Natureza – ISS mantém forte ligação com o indicador. </w:t>
      </w:r>
    </w:p>
    <w:p w14:paraId="4B94D5A5"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14DF12A9"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color w:val="000000"/>
          <w:sz w:val="24"/>
          <w:szCs w:val="24"/>
          <w:lang w:eastAsia="pt-BR"/>
        </w:rPr>
        <w:t>Também pode impactar indiretamente na arrecadação tributária por meio de outros aspectos, como por exemplo, na variação da inadimplência percebida em determinados tributos. O impacto mais relevante ocorre no Imposto Sobre a Propriedade Predial e Territorial Urbana (IPTU).</w:t>
      </w:r>
    </w:p>
    <w:p w14:paraId="3DEEC669" w14:textId="77777777" w:rsidR="00125E02" w:rsidRPr="00B26B74" w:rsidRDefault="00125E02" w:rsidP="00125E02">
      <w:pPr>
        <w:pStyle w:val="NormalWeb"/>
        <w:spacing w:before="0" w:beforeAutospacing="0" w:after="0" w:afterAutospacing="0"/>
        <w:jc w:val="both"/>
        <w:rPr>
          <w:rFonts w:asciiTheme="minorHAnsi" w:hAnsiTheme="minorHAnsi" w:cstheme="minorHAnsi"/>
        </w:rPr>
      </w:pPr>
    </w:p>
    <w:p w14:paraId="3A893C16" w14:textId="77777777" w:rsidR="00125E02" w:rsidRPr="00A22A2E" w:rsidRDefault="0654227C" w:rsidP="00125E02">
      <w:pPr>
        <w:pStyle w:val="NormalWeb"/>
        <w:spacing w:before="0" w:beforeAutospacing="0" w:after="0" w:afterAutospacing="0"/>
        <w:jc w:val="both"/>
        <w:rPr>
          <w:rFonts w:asciiTheme="minorHAnsi" w:hAnsiTheme="minorHAnsi" w:cstheme="minorHAnsi"/>
        </w:rPr>
      </w:pPr>
      <w:r w:rsidRPr="0654227C">
        <w:rPr>
          <w:rFonts w:asciiTheme="minorHAnsi" w:hAnsiTheme="minorHAnsi" w:cstheme="minorBidi"/>
        </w:rPr>
        <w:lastRenderedPageBreak/>
        <w:t xml:space="preserve">Com efeito, apesar do advento da Lei Complementar Municipal nº 214, de 29 de dezembro de 2016, que reduziu consideravelmente a isenção do imposto para os imóveis residenciais, estipulando a cobrança para aqueles com valor venal superior a R$140.000,00 (cento e quarenta mil reais), bem como da Lei Complementar Municipal nº 245, de 29 de dezembro de 2017, que objetivou o aprimoramento da legislação municipal e propiciou alguns ajustes de redação do Código Tributário do Município de Contagem, o nível de adimplência do IPTU tem sido impactado consideravelmente ante a existência de várias ações judiciais com o objetivo de cercear a cobrança deste </w:t>
      </w:r>
      <w:r w:rsidRPr="00A22A2E">
        <w:rPr>
          <w:rFonts w:asciiTheme="minorHAnsi" w:hAnsiTheme="minorHAnsi" w:cstheme="minorHAnsi"/>
        </w:rPr>
        <w:t>tributo.</w:t>
      </w:r>
    </w:p>
    <w:p w14:paraId="2AE8160E" w14:textId="26D377B0" w:rsidR="0654227C" w:rsidRPr="00A22A2E" w:rsidRDefault="0654227C" w:rsidP="0654227C">
      <w:pPr>
        <w:pStyle w:val="NormalWeb"/>
        <w:spacing w:before="0" w:beforeAutospacing="0" w:after="0" w:afterAutospacing="0"/>
        <w:jc w:val="both"/>
        <w:rPr>
          <w:rFonts w:asciiTheme="minorHAnsi" w:hAnsiTheme="minorHAnsi" w:cstheme="minorHAnsi"/>
        </w:rPr>
      </w:pPr>
    </w:p>
    <w:p w14:paraId="70C39F9A" w14:textId="1210036D" w:rsidR="0654227C" w:rsidRPr="00A22A2E" w:rsidRDefault="0654227C" w:rsidP="0654227C">
      <w:pPr>
        <w:pStyle w:val="NormalWeb"/>
        <w:spacing w:before="0" w:beforeAutospacing="0" w:after="0" w:afterAutospacing="0"/>
        <w:jc w:val="both"/>
        <w:rPr>
          <w:rFonts w:asciiTheme="minorHAnsi" w:hAnsiTheme="minorHAnsi" w:cstheme="minorHAnsi"/>
          <w:color w:val="000000" w:themeColor="text1"/>
        </w:rPr>
      </w:pPr>
      <w:r w:rsidRPr="00A22A2E">
        <w:rPr>
          <w:rFonts w:asciiTheme="minorHAnsi" w:hAnsiTheme="minorHAnsi" w:cstheme="minorHAnsi"/>
        </w:rPr>
        <w:t xml:space="preserve">Nesse ponto, podemos citar a ADI nº </w:t>
      </w:r>
      <w:r w:rsidRPr="00A22A2E">
        <w:rPr>
          <w:rFonts w:asciiTheme="minorHAnsi" w:eastAsiaTheme="minorEastAsia" w:hAnsiTheme="minorHAnsi" w:cstheme="minorHAnsi"/>
        </w:rPr>
        <w:t>1.0000.17.034.850-2/000</w:t>
      </w:r>
      <w:r w:rsidRPr="00A22A2E">
        <w:rPr>
          <w:rFonts w:asciiTheme="minorHAnsi" w:hAnsiTheme="minorHAnsi" w:cstheme="minorHAnsi"/>
        </w:rPr>
        <w:t>, ajuiza</w:t>
      </w:r>
      <w:r w:rsidRPr="00A22A2E">
        <w:rPr>
          <w:rFonts w:asciiTheme="minorHAnsi" w:hAnsiTheme="minorHAnsi" w:cstheme="minorHAnsi"/>
          <w:color w:val="000000" w:themeColor="text1"/>
        </w:rPr>
        <w:t xml:space="preserve">da pela Federação Sindical, em que se pretende a declaração de inconstitucionalidade do art. 2º da LC 214/17; a ADI nº </w:t>
      </w:r>
      <w:r w:rsidRPr="00A22A2E">
        <w:rPr>
          <w:rFonts w:asciiTheme="minorHAnsi" w:eastAsiaTheme="minorEastAsia" w:hAnsiTheme="minorHAnsi" w:cstheme="minorHAnsi"/>
        </w:rPr>
        <w:t>1.0000.17.074.500-4/000</w:t>
      </w:r>
      <w:r w:rsidRPr="00A22A2E">
        <w:rPr>
          <w:rFonts w:asciiTheme="minorHAnsi" w:hAnsiTheme="minorHAnsi" w:cstheme="minorHAnsi"/>
        </w:rPr>
        <w:t>,</w:t>
      </w:r>
      <w:r w:rsidRPr="00A22A2E">
        <w:rPr>
          <w:rFonts w:asciiTheme="minorHAnsi" w:hAnsiTheme="minorHAnsi" w:cstheme="minorHAnsi"/>
          <w:color w:val="000000" w:themeColor="text1"/>
        </w:rPr>
        <w:t xml:space="preserve"> ajuizada pelo Partido Comunista do Brasil (PCdoB), em que se pretende a declaração de inconstitucionalidade da LC 214/17 e dos Decretos 12/17 e 54/17; a Ação Popular nº </w:t>
      </w:r>
      <w:r w:rsidRPr="00A22A2E">
        <w:rPr>
          <w:rFonts w:asciiTheme="minorHAnsi" w:eastAsiaTheme="minorEastAsia" w:hAnsiTheme="minorHAnsi" w:cstheme="minorHAnsi"/>
        </w:rPr>
        <w:t>5018780.27.2017.8.13.0079</w:t>
      </w:r>
      <w:r w:rsidRPr="00A22A2E">
        <w:rPr>
          <w:rFonts w:asciiTheme="minorHAnsi" w:hAnsiTheme="minorHAnsi" w:cstheme="minorHAnsi"/>
        </w:rPr>
        <w:t xml:space="preserve">, </w:t>
      </w:r>
      <w:r w:rsidRPr="00A22A2E">
        <w:rPr>
          <w:rFonts w:asciiTheme="minorHAnsi" w:hAnsiTheme="minorHAnsi" w:cstheme="minorHAnsi"/>
          <w:color w:val="000000" w:themeColor="text1"/>
        </w:rPr>
        <w:t xml:space="preserve">ajuizada por Thiago Chaves Gaspar Bretas Lage, em que se pretende a declaração de nulidade da LC 214/16 e, alternativamente, a declaração de nulidade da exigência do IPTU residencial para o exercício de 2017 e, por fim, a Ação Popular nº </w:t>
      </w:r>
      <w:r w:rsidRPr="00A22A2E">
        <w:rPr>
          <w:rFonts w:asciiTheme="minorHAnsi" w:eastAsiaTheme="minorEastAsia" w:hAnsiTheme="minorHAnsi" w:cstheme="minorHAnsi"/>
        </w:rPr>
        <w:t>5019170.94.2017.8.13.0079</w:t>
      </w:r>
      <w:r w:rsidRPr="00A22A2E">
        <w:rPr>
          <w:rFonts w:asciiTheme="minorHAnsi" w:hAnsiTheme="minorHAnsi" w:cstheme="minorHAnsi"/>
        </w:rPr>
        <w:t>,</w:t>
      </w:r>
      <w:r w:rsidRPr="00A22A2E">
        <w:rPr>
          <w:rFonts w:asciiTheme="minorHAnsi" w:hAnsiTheme="minorHAnsi" w:cstheme="minorHAnsi"/>
          <w:color w:val="000000" w:themeColor="text1"/>
        </w:rPr>
        <w:t xml:space="preserve"> ajuizada por Thiago Chaves Gaspar Bretas Lage, em que se pretende a declaração de nulidade da LC 214/16.</w:t>
      </w:r>
    </w:p>
    <w:p w14:paraId="02B2B264" w14:textId="21AB1577" w:rsidR="0654227C" w:rsidRPr="00A22A2E" w:rsidRDefault="0654227C" w:rsidP="0654227C">
      <w:pPr>
        <w:pStyle w:val="NormalWeb"/>
        <w:spacing w:before="0" w:beforeAutospacing="0" w:after="0" w:afterAutospacing="0"/>
        <w:jc w:val="both"/>
        <w:rPr>
          <w:rFonts w:asciiTheme="minorHAnsi" w:hAnsiTheme="minorHAnsi" w:cstheme="minorHAnsi"/>
        </w:rPr>
      </w:pPr>
    </w:p>
    <w:p w14:paraId="0FE6A8C4" w14:textId="144BA73C" w:rsidR="004C12AF" w:rsidRPr="00A22A2E" w:rsidRDefault="0654227C" w:rsidP="0654227C">
      <w:pPr>
        <w:pStyle w:val="NormalWeb"/>
        <w:spacing w:before="0" w:beforeAutospacing="0" w:after="0" w:afterAutospacing="0"/>
        <w:jc w:val="both"/>
        <w:rPr>
          <w:rFonts w:asciiTheme="minorHAnsi" w:hAnsiTheme="minorHAnsi" w:cstheme="minorHAnsi"/>
        </w:rPr>
      </w:pPr>
      <w:r w:rsidRPr="00A22A2E">
        <w:rPr>
          <w:rFonts w:asciiTheme="minorHAnsi" w:hAnsiTheme="minorHAnsi" w:cstheme="minorHAnsi"/>
        </w:rPr>
        <w:t xml:space="preserve">Não bastasse isso, a Lei Complementar Municipal nº 246, de 29 de dezembro de 2017, que revisou e atualizou a planta de valores genéricos dos imóveis de Contagem, conquanto tenha otimizado sobremaneira o cadastro municipal do Município, ainda é muito recente e objeto de muitas discussões, devendo apresentar mais resultados para o Município somente a partir do exercício de 2019. </w:t>
      </w:r>
    </w:p>
    <w:p w14:paraId="45FB0818" w14:textId="5341933E" w:rsidR="00125E02" w:rsidRPr="00A22A2E" w:rsidRDefault="00125E02" w:rsidP="00125E02">
      <w:pPr>
        <w:spacing w:after="0" w:line="240" w:lineRule="auto"/>
        <w:jc w:val="both"/>
        <w:rPr>
          <w:rFonts w:eastAsia="Times New Roman" w:cstheme="minorHAnsi"/>
          <w:sz w:val="24"/>
          <w:szCs w:val="24"/>
          <w:lang w:eastAsia="pt-BR"/>
        </w:rPr>
      </w:pPr>
    </w:p>
    <w:p w14:paraId="15BA86B8" w14:textId="494011F8" w:rsidR="00F86A4C" w:rsidRPr="00A22A2E" w:rsidRDefault="00766E21" w:rsidP="00125E02">
      <w:pPr>
        <w:spacing w:after="0" w:line="240" w:lineRule="auto"/>
        <w:jc w:val="both"/>
        <w:rPr>
          <w:rFonts w:eastAsia="Times New Roman" w:cstheme="minorHAnsi"/>
          <w:sz w:val="24"/>
          <w:szCs w:val="24"/>
          <w:lang w:eastAsia="pt-BR"/>
        </w:rPr>
      </w:pPr>
      <w:r w:rsidRPr="00A22A2E">
        <w:rPr>
          <w:rFonts w:cstheme="minorHAnsi"/>
          <w:sz w:val="24"/>
          <w:szCs w:val="24"/>
        </w:rPr>
        <w:t>Neste aspecto</w:t>
      </w:r>
      <w:r w:rsidR="00F86A4C" w:rsidRPr="00A22A2E">
        <w:rPr>
          <w:rFonts w:cstheme="minorHAnsi"/>
          <w:sz w:val="24"/>
          <w:szCs w:val="24"/>
        </w:rPr>
        <w:t xml:space="preserve">, </w:t>
      </w:r>
      <w:r w:rsidRPr="00A22A2E">
        <w:rPr>
          <w:rFonts w:cstheme="minorHAnsi"/>
          <w:sz w:val="24"/>
          <w:szCs w:val="24"/>
        </w:rPr>
        <w:t>especialmente com relação ao impacto d</w:t>
      </w:r>
      <w:r w:rsidR="00C76197" w:rsidRPr="00A22A2E">
        <w:rPr>
          <w:rFonts w:cstheme="minorHAnsi"/>
          <w:sz w:val="24"/>
          <w:szCs w:val="24"/>
        </w:rPr>
        <w:t>os novos parâmetros de lançamento do</w:t>
      </w:r>
      <w:r w:rsidRPr="00A22A2E">
        <w:rPr>
          <w:rFonts w:cstheme="minorHAnsi"/>
          <w:sz w:val="24"/>
          <w:szCs w:val="24"/>
        </w:rPr>
        <w:t xml:space="preserve"> </w:t>
      </w:r>
      <w:r w:rsidR="00C76197" w:rsidRPr="00A22A2E">
        <w:rPr>
          <w:rFonts w:cstheme="minorHAnsi"/>
          <w:sz w:val="24"/>
          <w:szCs w:val="24"/>
        </w:rPr>
        <w:t>IPTU</w:t>
      </w:r>
      <w:r w:rsidRPr="00A22A2E">
        <w:rPr>
          <w:rFonts w:cstheme="minorHAnsi"/>
          <w:sz w:val="24"/>
          <w:szCs w:val="24"/>
        </w:rPr>
        <w:t xml:space="preserve">, </w:t>
      </w:r>
      <w:r w:rsidR="00F86A4C" w:rsidRPr="00A22A2E">
        <w:rPr>
          <w:rFonts w:cstheme="minorHAnsi"/>
          <w:sz w:val="24"/>
          <w:szCs w:val="24"/>
        </w:rPr>
        <w:t xml:space="preserve">considerando a </w:t>
      </w:r>
      <w:r w:rsidRPr="00A22A2E">
        <w:rPr>
          <w:rFonts w:cstheme="minorHAnsi"/>
          <w:sz w:val="24"/>
          <w:szCs w:val="24"/>
        </w:rPr>
        <w:t>necessidade de fomentar o setor produtivo e o desenvolvimento ordenado da cidade sob o viés da função social da propriedade</w:t>
      </w:r>
      <w:r w:rsidR="00F92B9F" w:rsidRPr="00A22A2E">
        <w:rPr>
          <w:rFonts w:cstheme="minorHAnsi"/>
          <w:sz w:val="24"/>
          <w:szCs w:val="24"/>
        </w:rPr>
        <w:t xml:space="preserve">, a </w:t>
      </w:r>
      <w:r w:rsidR="00F86A4C" w:rsidRPr="00A22A2E">
        <w:rPr>
          <w:rFonts w:cstheme="minorHAnsi"/>
          <w:sz w:val="24"/>
          <w:szCs w:val="24"/>
        </w:rPr>
        <w:t>administração pública de</w:t>
      </w:r>
      <w:r w:rsidR="00011808" w:rsidRPr="00A22A2E">
        <w:rPr>
          <w:rFonts w:cstheme="minorHAnsi"/>
          <w:sz w:val="24"/>
          <w:szCs w:val="24"/>
        </w:rPr>
        <w:t>ve</w:t>
      </w:r>
      <w:r w:rsidR="00C76197" w:rsidRPr="00A22A2E">
        <w:rPr>
          <w:rFonts w:cstheme="minorHAnsi"/>
          <w:sz w:val="24"/>
          <w:szCs w:val="24"/>
        </w:rPr>
        <w:t>rá</w:t>
      </w:r>
      <w:r w:rsidR="00011808" w:rsidRPr="00A22A2E">
        <w:rPr>
          <w:rFonts w:cstheme="minorHAnsi"/>
          <w:sz w:val="24"/>
          <w:szCs w:val="24"/>
        </w:rPr>
        <w:t xml:space="preserve"> estipular um programa que conceda estímulos </w:t>
      </w:r>
      <w:r w:rsidR="00014C04" w:rsidRPr="00A22A2E">
        <w:rPr>
          <w:rFonts w:cstheme="minorHAnsi"/>
          <w:sz w:val="24"/>
          <w:szCs w:val="24"/>
        </w:rPr>
        <w:t xml:space="preserve">com intuito de alcançar tais objetivos. </w:t>
      </w:r>
      <w:r w:rsidR="00F86A4C" w:rsidRPr="00A22A2E">
        <w:rPr>
          <w:rFonts w:cstheme="minorHAnsi"/>
          <w:sz w:val="24"/>
          <w:szCs w:val="24"/>
        </w:rPr>
        <w:t xml:space="preserve">Tal programa </w:t>
      </w:r>
      <w:r w:rsidR="00014C04" w:rsidRPr="00A22A2E">
        <w:rPr>
          <w:rFonts w:cstheme="minorHAnsi"/>
          <w:sz w:val="24"/>
          <w:szCs w:val="24"/>
        </w:rPr>
        <w:t>pretende instituir</w:t>
      </w:r>
      <w:r w:rsidR="00F86A4C" w:rsidRPr="00A22A2E">
        <w:rPr>
          <w:rFonts w:cstheme="minorHAnsi"/>
          <w:sz w:val="24"/>
          <w:szCs w:val="24"/>
        </w:rPr>
        <w:t xml:space="preserve"> um regime </w:t>
      </w:r>
      <w:r w:rsidR="00014C04" w:rsidRPr="00A22A2E">
        <w:rPr>
          <w:rFonts w:cstheme="minorHAnsi"/>
          <w:sz w:val="24"/>
          <w:szCs w:val="24"/>
        </w:rPr>
        <w:t>que fomente a atividade econômica e, por conseguinte, a geração de riqueza no Município, como também o ordenamento da cidade e seu crescimento adequado e sustentável.</w:t>
      </w:r>
      <w:r w:rsidR="00F86A4C" w:rsidRPr="00A22A2E">
        <w:rPr>
          <w:rFonts w:cstheme="minorHAnsi"/>
          <w:sz w:val="24"/>
          <w:szCs w:val="24"/>
        </w:rPr>
        <w:t xml:space="preserve"> Convém registrar que </w:t>
      </w:r>
      <w:r w:rsidR="00014C04" w:rsidRPr="00A22A2E">
        <w:rPr>
          <w:rFonts w:cstheme="minorHAnsi"/>
          <w:sz w:val="24"/>
          <w:szCs w:val="24"/>
        </w:rPr>
        <w:t xml:space="preserve">tais estímulos e benefícios serão </w:t>
      </w:r>
      <w:r w:rsidR="00F86A4C" w:rsidRPr="00A22A2E">
        <w:rPr>
          <w:rFonts w:cstheme="minorHAnsi"/>
          <w:sz w:val="24"/>
          <w:szCs w:val="24"/>
        </w:rPr>
        <w:t>considerado</w:t>
      </w:r>
      <w:r w:rsidR="00014C04" w:rsidRPr="00A22A2E">
        <w:rPr>
          <w:rFonts w:cstheme="minorHAnsi"/>
          <w:sz w:val="24"/>
          <w:szCs w:val="24"/>
        </w:rPr>
        <w:t>s</w:t>
      </w:r>
      <w:r w:rsidR="00F86A4C" w:rsidRPr="00A22A2E">
        <w:rPr>
          <w:rFonts w:cstheme="minorHAnsi"/>
          <w:sz w:val="24"/>
          <w:szCs w:val="24"/>
        </w:rPr>
        <w:t xml:space="preserve"> na estimativa de receita da lei orçamentária, na forma do art. 12 da LRF, não afetando as metas de resultados fiscais previstas no anexo próprio da lei de diretrizes orçamentárias. De igual sorte, a concessão de benefício está acompanhada de medidas de compensação, eis que eventual perda de receita oriunda dos </w:t>
      </w:r>
      <w:r w:rsidR="00014C04" w:rsidRPr="00A22A2E">
        <w:rPr>
          <w:rFonts w:cstheme="minorHAnsi"/>
          <w:sz w:val="24"/>
          <w:szCs w:val="24"/>
        </w:rPr>
        <w:t>benefícios</w:t>
      </w:r>
      <w:r w:rsidR="00F86A4C" w:rsidRPr="00A22A2E">
        <w:rPr>
          <w:rFonts w:cstheme="minorHAnsi"/>
          <w:sz w:val="24"/>
          <w:szCs w:val="24"/>
        </w:rPr>
        <w:t xml:space="preserve"> conferidos no programa </w:t>
      </w:r>
      <w:r w:rsidR="00866EBC" w:rsidRPr="00A22A2E">
        <w:rPr>
          <w:rFonts w:cstheme="minorHAnsi"/>
          <w:sz w:val="24"/>
          <w:szCs w:val="24"/>
        </w:rPr>
        <w:t>será</w:t>
      </w:r>
      <w:r w:rsidR="00F86A4C" w:rsidRPr="00A22A2E">
        <w:rPr>
          <w:rFonts w:cstheme="minorHAnsi"/>
          <w:sz w:val="24"/>
          <w:szCs w:val="24"/>
        </w:rPr>
        <w:t xml:space="preserve"> compensad</w:t>
      </w:r>
      <w:r w:rsidR="00866EBC" w:rsidRPr="00A22A2E">
        <w:rPr>
          <w:rFonts w:cstheme="minorHAnsi"/>
          <w:sz w:val="24"/>
          <w:szCs w:val="24"/>
        </w:rPr>
        <w:t>a</w:t>
      </w:r>
      <w:r w:rsidR="00F86A4C" w:rsidRPr="00A22A2E">
        <w:rPr>
          <w:rFonts w:cstheme="minorHAnsi"/>
          <w:sz w:val="24"/>
          <w:szCs w:val="24"/>
        </w:rPr>
        <w:t xml:space="preserve"> por meio do aumento de receita proveniente deste mesmo, como também pela real expectativa de ampliação da arrecadação do </w:t>
      </w:r>
      <w:r w:rsidR="00014C04" w:rsidRPr="00A22A2E">
        <w:rPr>
          <w:rFonts w:cstheme="minorHAnsi"/>
          <w:sz w:val="24"/>
          <w:szCs w:val="24"/>
        </w:rPr>
        <w:t>ISS, e da co</w:t>
      </w:r>
      <w:r w:rsidR="00866EBC" w:rsidRPr="00A22A2E">
        <w:rPr>
          <w:rFonts w:cstheme="minorHAnsi"/>
          <w:sz w:val="24"/>
          <w:szCs w:val="24"/>
        </w:rPr>
        <w:t>t</w:t>
      </w:r>
      <w:r w:rsidR="00014C04" w:rsidRPr="00A22A2E">
        <w:rPr>
          <w:rFonts w:cstheme="minorHAnsi"/>
          <w:sz w:val="24"/>
          <w:szCs w:val="24"/>
        </w:rPr>
        <w:t xml:space="preserve">a parte do ICMS e do IPVA. </w:t>
      </w:r>
    </w:p>
    <w:p w14:paraId="548C7409" w14:textId="77777777" w:rsidR="00581B43" w:rsidRDefault="00581B43" w:rsidP="00125E02">
      <w:pPr>
        <w:spacing w:after="0" w:line="240" w:lineRule="auto"/>
        <w:jc w:val="both"/>
        <w:rPr>
          <w:rFonts w:eastAsia="Times New Roman" w:cstheme="minorHAnsi"/>
          <w:color w:val="000000"/>
          <w:sz w:val="24"/>
          <w:szCs w:val="24"/>
          <w:lang w:eastAsia="pt-BR"/>
        </w:rPr>
      </w:pPr>
    </w:p>
    <w:p w14:paraId="75FD9AC5" w14:textId="4EE22403"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color w:val="000000"/>
          <w:sz w:val="24"/>
          <w:szCs w:val="24"/>
          <w:lang w:eastAsia="pt-BR"/>
        </w:rPr>
        <w:t xml:space="preserve">Outra circunstância que afeta a arrecadação é o aquecimento ou retração do mercado imobiliário, que reflete na arrecadação do Imposto sobre Transmissão </w:t>
      </w:r>
      <w:r w:rsidR="00402EEC" w:rsidRPr="00B26B74">
        <w:rPr>
          <w:rFonts w:eastAsia="Times New Roman" w:cstheme="minorHAnsi"/>
          <w:color w:val="000000"/>
          <w:sz w:val="24"/>
          <w:szCs w:val="24"/>
          <w:lang w:eastAsia="pt-BR"/>
        </w:rPr>
        <w:t>Inter Vivos</w:t>
      </w:r>
      <w:r w:rsidRPr="00B26B74">
        <w:rPr>
          <w:rFonts w:eastAsia="Times New Roman" w:cstheme="minorHAnsi"/>
          <w:color w:val="000000"/>
          <w:sz w:val="24"/>
          <w:szCs w:val="24"/>
          <w:lang w:eastAsia="pt-BR"/>
        </w:rPr>
        <w:t xml:space="preserve"> de Bens Imóveis e de Direitos Reais sobre Imóveis – ITBI, uma vez que a arrecadação depende do número de transações e dos valores transacionados. Os níveis de investimento no Município também guardam relação estreita com este imposto, visto que grandes negócios são acompanhados, na maioria dos casos, de movimentações imobiliárias. </w:t>
      </w:r>
    </w:p>
    <w:p w14:paraId="049F31CB" w14:textId="77777777" w:rsidR="00125E02" w:rsidRPr="00B26B74" w:rsidRDefault="00125E02" w:rsidP="00125E02">
      <w:pPr>
        <w:spacing w:after="0" w:line="240" w:lineRule="auto"/>
        <w:jc w:val="both"/>
        <w:rPr>
          <w:rFonts w:eastAsia="Times New Roman" w:cstheme="minorHAnsi"/>
          <w:color w:val="000000"/>
          <w:sz w:val="24"/>
          <w:szCs w:val="24"/>
          <w:highlight w:val="yellow"/>
          <w:lang w:eastAsia="pt-BR"/>
        </w:rPr>
      </w:pPr>
    </w:p>
    <w:p w14:paraId="434B02DD"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color w:val="000000"/>
          <w:sz w:val="24"/>
          <w:szCs w:val="24"/>
          <w:lang w:eastAsia="pt-BR"/>
        </w:rPr>
        <w:t xml:space="preserve">A inflação, por sua vez, possui influência relevante na maioria dos itens de receitas. A elevação de preços, todavia, pode ter como contrapartida efeitos sobre a demanda agregada na economia, via contração do consumo, do investimento e mesmo dos gastos do governo. </w:t>
      </w:r>
    </w:p>
    <w:p w14:paraId="53128261"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6EF54F51"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color w:val="000000"/>
          <w:sz w:val="24"/>
          <w:szCs w:val="24"/>
          <w:lang w:eastAsia="pt-BR"/>
        </w:rPr>
        <w:lastRenderedPageBreak/>
        <w:t>Choques inflacionários ou cambiais têm reflexo nas dívidas existentes junto a credores internos e externos, e podem impactar tanto o fluxo de desembolsos para cobertura do serviço da dívida como o saldo devedor dessas obrigações. Embora com um impacto menor, a variação cambial reflete na realização de receitas, principalmente o Imposto Sobre Serviços – ISS e o repasse do Imposto sobre a Circulação de Mercadorias e Serviços –</w:t>
      </w:r>
      <w:r w:rsidR="000C76A2" w:rsidRPr="00B26B74">
        <w:rPr>
          <w:rFonts w:eastAsia="Times New Roman" w:cstheme="minorHAnsi"/>
          <w:color w:val="000000"/>
          <w:sz w:val="24"/>
          <w:szCs w:val="24"/>
          <w:lang w:eastAsia="pt-BR"/>
        </w:rPr>
        <w:t xml:space="preserve"> </w:t>
      </w:r>
      <w:r w:rsidRPr="00B26B74">
        <w:rPr>
          <w:rFonts w:eastAsia="Times New Roman" w:cstheme="minorHAnsi"/>
          <w:color w:val="000000"/>
          <w:sz w:val="24"/>
          <w:szCs w:val="24"/>
          <w:lang w:eastAsia="pt-BR"/>
        </w:rPr>
        <w:t xml:space="preserve">ICMS. </w:t>
      </w:r>
    </w:p>
    <w:p w14:paraId="62486C05"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215E4E23"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color w:val="000000"/>
          <w:sz w:val="24"/>
          <w:szCs w:val="24"/>
          <w:lang w:eastAsia="pt-BR"/>
        </w:rPr>
        <w:t xml:space="preserve">Outro fator relevante a considerar na receita do Município é a variação nas taxas de juros, visto que diversos fundos e aplicações financeiras são remunerados de acordo com as taxas praticadas no mercado. </w:t>
      </w:r>
    </w:p>
    <w:p w14:paraId="4101652C" w14:textId="77777777" w:rsidR="004C12AF" w:rsidRDefault="004C12AF" w:rsidP="00125E02">
      <w:pPr>
        <w:spacing w:after="0" w:line="240" w:lineRule="auto"/>
        <w:rPr>
          <w:rFonts w:eastAsia="Times New Roman" w:cstheme="minorHAnsi"/>
          <w:sz w:val="24"/>
          <w:szCs w:val="24"/>
          <w:lang w:eastAsia="pt-BR"/>
        </w:rPr>
      </w:pPr>
    </w:p>
    <w:p w14:paraId="6A7951D1"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b/>
          <w:bCs/>
          <w:i/>
          <w:iCs/>
          <w:color w:val="000000"/>
          <w:sz w:val="24"/>
          <w:szCs w:val="24"/>
          <w:lang w:eastAsia="pt-BR"/>
        </w:rPr>
        <w:t>II.2 - Riscos decorrentes da programação da despesa</w:t>
      </w:r>
    </w:p>
    <w:p w14:paraId="4DDBEF00"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27FF2255"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color w:val="000000"/>
          <w:sz w:val="24"/>
          <w:szCs w:val="24"/>
          <w:lang w:eastAsia="pt-BR"/>
        </w:rPr>
        <w:t xml:space="preserve">As variações não previstas na despesa obrigatória programada na Lei Orçamentária Anual são oriundas de modificações no arcabouço legal que criam ou ampliam as obrigações para o Município, bem como de decisões de políticas públicas que o Governo necessita tomar posteriormente à aprovação daquela lei. </w:t>
      </w:r>
    </w:p>
    <w:p w14:paraId="3461D779"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4C14C1A5" w14:textId="77777777" w:rsidR="004C12AF" w:rsidRPr="00B26B74" w:rsidRDefault="004C12AF" w:rsidP="00125E02">
      <w:pPr>
        <w:spacing w:after="0" w:line="240" w:lineRule="auto"/>
        <w:jc w:val="both"/>
        <w:rPr>
          <w:rFonts w:eastAsia="Times New Roman" w:cstheme="minorHAnsi"/>
          <w:color w:val="000000"/>
          <w:sz w:val="24"/>
          <w:szCs w:val="24"/>
          <w:lang w:eastAsia="pt-BR"/>
        </w:rPr>
      </w:pPr>
      <w:r w:rsidRPr="00B26B74">
        <w:rPr>
          <w:rFonts w:eastAsia="Times New Roman" w:cstheme="minorHAnsi"/>
          <w:color w:val="000000"/>
          <w:sz w:val="24"/>
          <w:szCs w:val="24"/>
          <w:lang w:eastAsia="pt-BR"/>
        </w:rPr>
        <w:t>Ademais, despesas como as relacionadas às ações e serviços públicos de saúde, de segurança e de educação, às de limpeza e iluminação pública, às de ordenamento e uso do solo, dentre outras, são dependentes de parâmetros macroeconômicos. Mudanças no cenário podem afetar sobremaneira o montante dessas despesas, o que implica alteração da programação original constante da Lei Orçamentária.</w:t>
      </w:r>
    </w:p>
    <w:p w14:paraId="3CF2D8B6" w14:textId="77777777" w:rsidR="000C76A2" w:rsidRPr="00B26B74" w:rsidRDefault="000C76A2" w:rsidP="00125E02">
      <w:pPr>
        <w:spacing w:after="0" w:line="240" w:lineRule="auto"/>
        <w:jc w:val="both"/>
        <w:rPr>
          <w:rFonts w:eastAsia="Times New Roman" w:cstheme="minorHAnsi"/>
          <w:sz w:val="24"/>
          <w:szCs w:val="24"/>
          <w:lang w:eastAsia="pt-BR"/>
        </w:rPr>
      </w:pPr>
    </w:p>
    <w:p w14:paraId="71935289" w14:textId="77777777" w:rsidR="004C12AF" w:rsidRPr="00B26B74" w:rsidRDefault="004C12AF" w:rsidP="00125E02">
      <w:pPr>
        <w:spacing w:after="0" w:line="240" w:lineRule="auto"/>
        <w:jc w:val="both"/>
        <w:rPr>
          <w:rFonts w:eastAsia="Times New Roman" w:cstheme="minorHAnsi"/>
          <w:b/>
          <w:bCs/>
          <w:color w:val="000000"/>
          <w:sz w:val="24"/>
          <w:szCs w:val="24"/>
          <w:u w:val="single"/>
          <w:lang w:eastAsia="pt-BR"/>
        </w:rPr>
      </w:pPr>
      <w:r w:rsidRPr="00B26B74">
        <w:rPr>
          <w:rFonts w:eastAsia="Times New Roman" w:cstheme="minorHAnsi"/>
          <w:b/>
          <w:bCs/>
          <w:color w:val="000000"/>
          <w:sz w:val="24"/>
          <w:szCs w:val="24"/>
          <w:u w:val="single"/>
          <w:lang w:eastAsia="pt-BR"/>
        </w:rPr>
        <w:t xml:space="preserve">III - RISCOS VINCULADOS ÀS DÍVIDAS </w:t>
      </w:r>
    </w:p>
    <w:p w14:paraId="0FB78278" w14:textId="77777777" w:rsidR="000C76A2" w:rsidRPr="00B26B74" w:rsidRDefault="000C76A2" w:rsidP="00125E02">
      <w:pPr>
        <w:spacing w:after="0" w:line="240" w:lineRule="auto"/>
        <w:jc w:val="both"/>
        <w:rPr>
          <w:rFonts w:eastAsia="Times New Roman" w:cstheme="minorHAnsi"/>
          <w:sz w:val="24"/>
          <w:szCs w:val="24"/>
          <w:lang w:eastAsia="pt-BR"/>
        </w:rPr>
      </w:pPr>
    </w:p>
    <w:p w14:paraId="581EF39A"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b/>
          <w:bCs/>
          <w:i/>
          <w:iCs/>
          <w:color w:val="000000"/>
          <w:sz w:val="24"/>
          <w:szCs w:val="24"/>
          <w:lang w:eastAsia="pt-BR"/>
        </w:rPr>
        <w:t>III.1 - Riscos decorrentes da Dívida Pública</w:t>
      </w:r>
    </w:p>
    <w:p w14:paraId="1FC39945"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65310C0E" w14:textId="77777777" w:rsidR="00F74CB4" w:rsidRPr="00071943" w:rsidRDefault="007E674E" w:rsidP="00F74CB4">
      <w:pPr>
        <w:spacing w:after="0"/>
        <w:jc w:val="both"/>
        <w:rPr>
          <w:sz w:val="24"/>
        </w:rPr>
      </w:pPr>
      <w:r w:rsidRPr="00071943">
        <w:rPr>
          <w:sz w:val="24"/>
        </w:rPr>
        <w:t>O risco inerente à administração da dívida pública municipal decorre do impacto de eventuais variações das taxas de juros, de câmbio e de inflação nas dívidas contratadas. Essas variações, quando verificadas, geram impacto no orçamento anual, reduzindo a capacidade de financiamento das políticas públicas, pois provocam variações no volume de recursos necessários ao pagamento da dívida nos exercícios orçamentários seguintes.</w:t>
      </w:r>
    </w:p>
    <w:p w14:paraId="22F86D7F" w14:textId="77777777" w:rsidR="00BB7DFA" w:rsidRDefault="00BB7DFA" w:rsidP="00F74CB4">
      <w:pPr>
        <w:spacing w:after="0"/>
        <w:jc w:val="both"/>
        <w:rPr>
          <w:sz w:val="24"/>
        </w:rPr>
      </w:pPr>
    </w:p>
    <w:p w14:paraId="7A1871AD" w14:textId="3BB4D266" w:rsidR="00DB6FF6" w:rsidRDefault="007E674E" w:rsidP="00F74CB4">
      <w:pPr>
        <w:spacing w:after="0"/>
        <w:jc w:val="both"/>
        <w:rPr>
          <w:sz w:val="24"/>
        </w:rPr>
      </w:pPr>
      <w:r w:rsidRPr="00071943">
        <w:rPr>
          <w:sz w:val="24"/>
        </w:rPr>
        <w:t xml:space="preserve">A dívida pública do Município de Contagem, consolidada até </w:t>
      </w:r>
      <w:r w:rsidR="00597907" w:rsidRPr="00071943">
        <w:rPr>
          <w:sz w:val="24"/>
        </w:rPr>
        <w:t>dezembro</w:t>
      </w:r>
      <w:r w:rsidRPr="00071943">
        <w:rPr>
          <w:sz w:val="24"/>
        </w:rPr>
        <w:t xml:space="preserve"> de 2017, monta a R$ </w:t>
      </w:r>
      <w:r w:rsidR="00597907" w:rsidRPr="00071943">
        <w:rPr>
          <w:sz w:val="24"/>
        </w:rPr>
        <w:t>482,6</w:t>
      </w:r>
      <w:r w:rsidRPr="00071943">
        <w:rPr>
          <w:sz w:val="24"/>
        </w:rPr>
        <w:t xml:space="preserve"> milhões, firmada em contratos com Credores Internos: União, Caixa Econômica Federal (CEF), Banco do Brasil S/A, Instituto de Previdência dos Servidores do Estado de Minas Gerais (IPSEMG) e precatórios judiciais. A dívida com precatórios vincendos</w:t>
      </w:r>
      <w:r w:rsidR="00597907" w:rsidRPr="00071943">
        <w:rPr>
          <w:sz w:val="24"/>
        </w:rPr>
        <w:t>, parcelados nos termos da EC 099/2017</w:t>
      </w:r>
      <w:r w:rsidRPr="00071943">
        <w:rPr>
          <w:sz w:val="24"/>
        </w:rPr>
        <w:t>, totalizam R$ 2</w:t>
      </w:r>
      <w:r w:rsidR="00A7484A" w:rsidRPr="00071943">
        <w:rPr>
          <w:sz w:val="24"/>
        </w:rPr>
        <w:t xml:space="preserve">23,4 </w:t>
      </w:r>
      <w:r w:rsidRPr="00071943">
        <w:rPr>
          <w:sz w:val="24"/>
        </w:rPr>
        <w:t>milhõ</w:t>
      </w:r>
      <w:r w:rsidR="00071943" w:rsidRPr="00071943">
        <w:rPr>
          <w:sz w:val="24"/>
        </w:rPr>
        <w:t>es, com vencimento final em 2024</w:t>
      </w:r>
      <w:r w:rsidRPr="00071943">
        <w:rPr>
          <w:sz w:val="24"/>
        </w:rPr>
        <w:t xml:space="preserve">, tendo como indexador o IPCA-E, e representa </w:t>
      </w:r>
      <w:r w:rsidR="00071943" w:rsidRPr="00071943">
        <w:rPr>
          <w:sz w:val="24"/>
        </w:rPr>
        <w:t>46,89</w:t>
      </w:r>
      <w:r w:rsidRPr="00071943">
        <w:rPr>
          <w:sz w:val="24"/>
        </w:rPr>
        <w:t>% do estoque total da dívida</w:t>
      </w:r>
      <w:r w:rsidRPr="00DB6FF6">
        <w:rPr>
          <w:sz w:val="24"/>
        </w:rPr>
        <w:t xml:space="preserve">. A dívida com a União é de R$ </w:t>
      </w:r>
      <w:r w:rsidR="00071943" w:rsidRPr="00DB6FF6">
        <w:rPr>
          <w:sz w:val="24"/>
        </w:rPr>
        <w:t>59</w:t>
      </w:r>
      <w:r w:rsidRPr="00DB6FF6">
        <w:rPr>
          <w:sz w:val="24"/>
        </w:rPr>
        <w:t xml:space="preserve"> milhões, formada pelos parcelamentos previdenciários (R$ </w:t>
      </w:r>
      <w:r w:rsidR="00DB6FF6" w:rsidRPr="00DB6FF6">
        <w:rPr>
          <w:sz w:val="24"/>
        </w:rPr>
        <w:t>4,5</w:t>
      </w:r>
      <w:r w:rsidRPr="00DB6FF6">
        <w:rPr>
          <w:sz w:val="24"/>
        </w:rPr>
        <w:t xml:space="preserve"> milhões), contribuições sociais do PASEP (R$ </w:t>
      </w:r>
      <w:r w:rsidR="00DB6FF6" w:rsidRPr="00DB6FF6">
        <w:rPr>
          <w:sz w:val="24"/>
        </w:rPr>
        <w:t>12,3</w:t>
      </w:r>
      <w:r w:rsidRPr="00DB6FF6">
        <w:rPr>
          <w:sz w:val="24"/>
        </w:rPr>
        <w:t xml:space="preserve"> m</w:t>
      </w:r>
      <w:r w:rsidR="00DB6FF6" w:rsidRPr="00DB6FF6">
        <w:rPr>
          <w:sz w:val="24"/>
        </w:rPr>
        <w:t>ilhões), parcelamento tributário</w:t>
      </w:r>
      <w:r w:rsidRPr="00DB6FF6">
        <w:rPr>
          <w:sz w:val="24"/>
        </w:rPr>
        <w:t>. O parcelamento com o IPSEMG encontra-se sob judicie e so</w:t>
      </w:r>
      <w:r w:rsidR="00DB6FF6" w:rsidRPr="00DB6FF6">
        <w:rPr>
          <w:sz w:val="24"/>
        </w:rPr>
        <w:t>ma o total de R$ 101,74 milhões</w:t>
      </w:r>
      <w:r w:rsidRPr="00DB6FF6">
        <w:rPr>
          <w:sz w:val="24"/>
        </w:rPr>
        <w:t xml:space="preserve">. </w:t>
      </w:r>
      <w:r w:rsidR="00DB6FF6" w:rsidRPr="00DB6FF6">
        <w:rPr>
          <w:sz w:val="24"/>
        </w:rPr>
        <w:t>A dívida contratual com as instituições financeiras internas totaliza</w:t>
      </w:r>
      <w:r w:rsidRPr="00DB6FF6">
        <w:rPr>
          <w:sz w:val="24"/>
        </w:rPr>
        <w:t xml:space="preserve"> R$ </w:t>
      </w:r>
      <w:r w:rsidR="00DB6FF6" w:rsidRPr="00DB6FF6">
        <w:rPr>
          <w:sz w:val="24"/>
        </w:rPr>
        <w:t>197,4</w:t>
      </w:r>
      <w:r w:rsidRPr="00DB6FF6">
        <w:rPr>
          <w:sz w:val="24"/>
        </w:rPr>
        <w:t xml:space="preserve"> milhões, sendo a Caixa Federal com R$ </w:t>
      </w:r>
      <w:r w:rsidR="00DB6FF6" w:rsidRPr="00DB6FF6">
        <w:rPr>
          <w:sz w:val="24"/>
        </w:rPr>
        <w:t>82,9</w:t>
      </w:r>
      <w:r w:rsidRPr="00DB6FF6">
        <w:rPr>
          <w:sz w:val="24"/>
        </w:rPr>
        <w:t xml:space="preserve"> milhões, indexadas pela TR + 6% a.a. e TJLP. As dívidas contratadas com o Banco do Brasil totalizam R$ </w:t>
      </w:r>
      <w:r w:rsidR="00DB6FF6" w:rsidRPr="00DB6FF6">
        <w:rPr>
          <w:sz w:val="24"/>
        </w:rPr>
        <w:t>12,7</w:t>
      </w:r>
      <w:r w:rsidRPr="00DB6FF6">
        <w:rPr>
          <w:sz w:val="24"/>
        </w:rPr>
        <w:t xml:space="preserve"> milhões do Programa de Financiamento de Contrapartidas - CPAC, indexados pela TJLP acrescidos de juros de 3,4% a.a. Dos riscos que impactam a dívida pública, o mais importante é o decorrente de eventuais variações nos índices SELIC, TJLP, IPCA-E e TR, com efeito direto sobre o total e serviço da dívida. A eventual variação a maior dos indexadores se </w:t>
      </w:r>
      <w:r w:rsidRPr="00DB6FF6">
        <w:rPr>
          <w:sz w:val="24"/>
        </w:rPr>
        <w:lastRenderedPageBreak/>
        <w:t>transfere para o orçamento da dívida no exercício de 201</w:t>
      </w:r>
      <w:r w:rsidR="00DB6FF6" w:rsidRPr="00DB6FF6">
        <w:rPr>
          <w:sz w:val="24"/>
        </w:rPr>
        <w:t>8</w:t>
      </w:r>
      <w:r w:rsidRPr="00DB6FF6">
        <w:rPr>
          <w:sz w:val="24"/>
        </w:rPr>
        <w:t xml:space="preserve"> e seguintes, uma vez que essa dívida terá o saldo devedor, primeiramente, corrigido monetariamente pela variação do indexador superior ao previsto e, posteriormente </w:t>
      </w:r>
      <w:r w:rsidR="00DB6FF6">
        <w:rPr>
          <w:sz w:val="24"/>
        </w:rPr>
        <w:t>acrescidos de juros contratuais.</w:t>
      </w:r>
    </w:p>
    <w:p w14:paraId="5D556CCC" w14:textId="77777777" w:rsidR="00BB7DFA" w:rsidRDefault="00BB7DFA" w:rsidP="00F74CB4">
      <w:pPr>
        <w:spacing w:after="0"/>
        <w:jc w:val="both"/>
        <w:rPr>
          <w:sz w:val="24"/>
        </w:rPr>
      </w:pPr>
    </w:p>
    <w:p w14:paraId="054DC23F" w14:textId="2F8D5DD4" w:rsidR="00DB6FF6" w:rsidRPr="00DB6FF6" w:rsidRDefault="00DB6FF6" w:rsidP="00F74CB4">
      <w:pPr>
        <w:spacing w:after="0"/>
        <w:jc w:val="both"/>
        <w:rPr>
          <w:sz w:val="24"/>
        </w:rPr>
      </w:pPr>
      <w:bookmarkStart w:id="0" w:name="_GoBack"/>
      <w:bookmarkEnd w:id="0"/>
      <w:r>
        <w:rPr>
          <w:sz w:val="24"/>
        </w:rPr>
        <w:t>Em relação às dívidas externas, existem estudos de viabilidade para contratações de operações externas que poderá sujeitar o orçamento a riscos advindos da variação da taxa de câmbio ou taxa de juros internacionais variáveis (LIBOR), uma vez que as operações serão contratadas em moeda estrangeira, que é a referência para formação da taxa de juros incidentes sobre esses empréstimos.</w:t>
      </w:r>
    </w:p>
    <w:p w14:paraId="5997CC1D" w14:textId="77777777" w:rsidR="00125E02" w:rsidRPr="00DB6FF6" w:rsidRDefault="00125E02" w:rsidP="00125E02">
      <w:pPr>
        <w:spacing w:after="0" w:line="240" w:lineRule="auto"/>
        <w:jc w:val="both"/>
        <w:rPr>
          <w:rFonts w:eastAsia="Times New Roman" w:cstheme="minorHAnsi"/>
          <w:color w:val="000000"/>
          <w:sz w:val="24"/>
          <w:szCs w:val="24"/>
          <w:shd w:val="clear" w:color="auto" w:fill="FFFF00"/>
          <w:lang w:eastAsia="pt-BR"/>
        </w:rPr>
      </w:pPr>
    </w:p>
    <w:p w14:paraId="65AB16EF" w14:textId="1A2605B9" w:rsidR="004C12AF" w:rsidRPr="00B26B74" w:rsidRDefault="00A67B6B" w:rsidP="00125E02">
      <w:pPr>
        <w:spacing w:after="0" w:line="240" w:lineRule="auto"/>
        <w:jc w:val="both"/>
        <w:rPr>
          <w:rFonts w:eastAsia="Times New Roman" w:cstheme="minorHAnsi"/>
          <w:sz w:val="24"/>
          <w:szCs w:val="24"/>
          <w:lang w:eastAsia="pt-BR"/>
        </w:rPr>
      </w:pPr>
      <w:r>
        <w:rPr>
          <w:rFonts w:eastAsia="Times New Roman" w:cstheme="minorHAnsi"/>
          <w:b/>
          <w:bCs/>
          <w:i/>
          <w:iCs/>
          <w:color w:val="000000"/>
          <w:sz w:val="24"/>
          <w:szCs w:val="24"/>
          <w:lang w:eastAsia="pt-BR"/>
        </w:rPr>
        <w:t xml:space="preserve">III.2 - </w:t>
      </w:r>
      <w:r w:rsidR="004C12AF" w:rsidRPr="00B26B74">
        <w:rPr>
          <w:rFonts w:eastAsia="Times New Roman" w:cstheme="minorHAnsi"/>
          <w:b/>
          <w:bCs/>
          <w:i/>
          <w:iCs/>
          <w:color w:val="000000"/>
          <w:sz w:val="24"/>
          <w:szCs w:val="24"/>
          <w:lang w:eastAsia="pt-BR"/>
        </w:rPr>
        <w:t xml:space="preserve">Riscos decorrentes dos passivos contingentes </w:t>
      </w:r>
    </w:p>
    <w:p w14:paraId="6B699379"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1BBA6C9D" w14:textId="77777777" w:rsidR="004C12AF" w:rsidRPr="00B26B74"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color w:val="000000"/>
          <w:sz w:val="24"/>
          <w:szCs w:val="24"/>
          <w:lang w:eastAsia="pt-BR"/>
        </w:rPr>
        <w:t xml:space="preserve">As contingências passivas são decorrentes de novas obrigações resultantes de acontecimentos passados e cuja existência será confirmada apenas pela ocorrência de acontecimentos futuros e não totalmente sob o controle da municipalidade, ou uma obrigação presente derivada de acontecimentos passados, mas que não é reconhecida por ser improvável a necessidade de liquidação ou a quantia da obrigação não pode ser mensurada com suficiente fiabilidade. Eventuais decisões judiciais desfavoráveis ao Município aumentam, por exemplo, o estoque de precatórios, representando risco. </w:t>
      </w:r>
    </w:p>
    <w:p w14:paraId="3FE9F23F" w14:textId="77777777" w:rsidR="00125E02" w:rsidRPr="00B26B74" w:rsidRDefault="00125E02" w:rsidP="00125E02">
      <w:pPr>
        <w:spacing w:after="0" w:line="240" w:lineRule="auto"/>
        <w:jc w:val="both"/>
        <w:rPr>
          <w:rFonts w:eastAsia="Times New Roman" w:cstheme="minorHAnsi"/>
          <w:color w:val="000000"/>
          <w:sz w:val="24"/>
          <w:szCs w:val="24"/>
          <w:lang w:eastAsia="pt-BR"/>
        </w:rPr>
      </w:pPr>
    </w:p>
    <w:p w14:paraId="132679DE" w14:textId="77777777" w:rsidR="004C12AF" w:rsidRPr="002E0B30" w:rsidRDefault="004C12AF" w:rsidP="00125E02">
      <w:pPr>
        <w:spacing w:after="0" w:line="240" w:lineRule="auto"/>
        <w:jc w:val="both"/>
        <w:rPr>
          <w:rFonts w:eastAsia="Times New Roman" w:cstheme="minorHAnsi"/>
          <w:sz w:val="24"/>
          <w:szCs w:val="24"/>
          <w:lang w:eastAsia="pt-BR"/>
        </w:rPr>
      </w:pPr>
      <w:r w:rsidRPr="00B26B74">
        <w:rPr>
          <w:rFonts w:eastAsia="Times New Roman" w:cstheme="minorHAnsi"/>
          <w:color w:val="000000"/>
          <w:sz w:val="24"/>
          <w:szCs w:val="24"/>
          <w:lang w:eastAsia="pt-BR"/>
        </w:rPr>
        <w:t xml:space="preserve">Destacam-se nesse tópico os precatórios como um risco fiscal importante no curto e médio prazo. </w:t>
      </w:r>
      <w:r w:rsidRPr="002E0B30">
        <w:rPr>
          <w:rFonts w:eastAsia="Times New Roman" w:cstheme="minorHAnsi"/>
          <w:color w:val="000000"/>
          <w:sz w:val="24"/>
          <w:szCs w:val="24"/>
          <w:lang w:eastAsia="pt-BR"/>
        </w:rPr>
        <w:t>Isso porque, em 2013, o Supremo Tribunal Federal (STF) declarou a inconstitucionalidade da Emenda Constitucional nº 62, que estabelecia uma regra sustentável de pagamento dessas dívidas.</w:t>
      </w:r>
    </w:p>
    <w:p w14:paraId="1F72F646" w14:textId="77777777" w:rsidR="00125E02" w:rsidRPr="002E0B30" w:rsidRDefault="00125E02" w:rsidP="00125E02">
      <w:pPr>
        <w:spacing w:after="0" w:line="240" w:lineRule="auto"/>
        <w:jc w:val="both"/>
        <w:rPr>
          <w:rFonts w:eastAsia="Times New Roman" w:cstheme="minorHAnsi"/>
          <w:color w:val="000000"/>
          <w:sz w:val="24"/>
          <w:szCs w:val="24"/>
          <w:lang w:eastAsia="pt-BR"/>
        </w:rPr>
      </w:pPr>
    </w:p>
    <w:p w14:paraId="206280E4" w14:textId="5ACC1A6D" w:rsidR="004C12AF" w:rsidRPr="002E0B30" w:rsidRDefault="004C12AF" w:rsidP="00125E02">
      <w:pPr>
        <w:spacing w:after="0" w:line="240" w:lineRule="auto"/>
        <w:jc w:val="both"/>
        <w:rPr>
          <w:rFonts w:eastAsia="Times New Roman" w:cstheme="minorHAnsi"/>
          <w:sz w:val="24"/>
          <w:szCs w:val="24"/>
          <w:lang w:eastAsia="pt-BR"/>
        </w:rPr>
      </w:pPr>
      <w:r w:rsidRPr="0055639E">
        <w:rPr>
          <w:rFonts w:eastAsia="Times New Roman" w:cstheme="minorHAnsi"/>
          <w:color w:val="000000"/>
          <w:sz w:val="24"/>
          <w:szCs w:val="24"/>
          <w:lang w:eastAsia="pt-BR"/>
        </w:rPr>
        <w:t xml:space="preserve">No dia </w:t>
      </w:r>
      <w:r w:rsidR="00141856" w:rsidRPr="0055639E">
        <w:rPr>
          <w:rFonts w:eastAsia="Times New Roman" w:cstheme="minorHAnsi"/>
          <w:color w:val="000000"/>
          <w:sz w:val="24"/>
          <w:szCs w:val="24"/>
          <w:lang w:eastAsia="pt-BR"/>
        </w:rPr>
        <w:t>14</w:t>
      </w:r>
      <w:r w:rsidRPr="0055639E">
        <w:rPr>
          <w:rFonts w:eastAsia="Times New Roman" w:cstheme="minorHAnsi"/>
          <w:color w:val="000000"/>
          <w:sz w:val="24"/>
          <w:szCs w:val="24"/>
          <w:lang w:eastAsia="pt-BR"/>
        </w:rPr>
        <w:t xml:space="preserve"> de </w:t>
      </w:r>
      <w:r w:rsidR="00141856" w:rsidRPr="0055639E">
        <w:rPr>
          <w:rFonts w:eastAsia="Times New Roman" w:cstheme="minorHAnsi"/>
          <w:color w:val="000000"/>
          <w:sz w:val="24"/>
          <w:szCs w:val="24"/>
          <w:lang w:eastAsia="pt-BR"/>
        </w:rPr>
        <w:t>dezembro</w:t>
      </w:r>
      <w:r w:rsidRPr="0055639E">
        <w:rPr>
          <w:rFonts w:eastAsia="Times New Roman" w:cstheme="minorHAnsi"/>
          <w:color w:val="000000"/>
          <w:sz w:val="24"/>
          <w:szCs w:val="24"/>
          <w:lang w:eastAsia="pt-BR"/>
        </w:rPr>
        <w:t xml:space="preserve"> de 201</w:t>
      </w:r>
      <w:r w:rsidR="00141856" w:rsidRPr="0055639E">
        <w:rPr>
          <w:rFonts w:eastAsia="Times New Roman" w:cstheme="minorHAnsi"/>
          <w:color w:val="000000"/>
          <w:sz w:val="24"/>
          <w:szCs w:val="24"/>
          <w:lang w:eastAsia="pt-BR"/>
        </w:rPr>
        <w:t>7</w:t>
      </w:r>
      <w:r w:rsidRPr="0055639E">
        <w:rPr>
          <w:rFonts w:eastAsia="Times New Roman" w:cstheme="minorHAnsi"/>
          <w:color w:val="000000"/>
          <w:sz w:val="24"/>
          <w:szCs w:val="24"/>
          <w:lang w:eastAsia="pt-BR"/>
        </w:rPr>
        <w:t xml:space="preserve">, </w:t>
      </w:r>
      <w:r w:rsidR="00141856" w:rsidRPr="0055639E">
        <w:rPr>
          <w:rFonts w:eastAsia="Times New Roman" w:cstheme="minorHAnsi"/>
          <w:color w:val="000000"/>
          <w:sz w:val="24"/>
          <w:szCs w:val="24"/>
          <w:lang w:eastAsia="pt-BR"/>
        </w:rPr>
        <w:t>foi promulgada Emenda Constitucional nº 99 que estabelece o prazo até 31 de dezembro de 2024</w:t>
      </w:r>
      <w:r w:rsidRPr="0055639E">
        <w:rPr>
          <w:rFonts w:eastAsia="Times New Roman" w:cstheme="minorHAnsi"/>
          <w:color w:val="000000"/>
          <w:sz w:val="24"/>
          <w:szCs w:val="24"/>
          <w:lang w:eastAsia="pt-BR"/>
        </w:rPr>
        <w:t xml:space="preserve"> </w:t>
      </w:r>
      <w:r w:rsidR="00141856" w:rsidRPr="0055639E">
        <w:rPr>
          <w:rFonts w:eastAsia="Times New Roman" w:cstheme="minorHAnsi"/>
          <w:color w:val="000000"/>
          <w:sz w:val="24"/>
          <w:szCs w:val="24"/>
          <w:lang w:eastAsia="pt-BR"/>
        </w:rPr>
        <w:t xml:space="preserve">para pagamento de precatórios em mora atualizados pelo Índice Nacional de Preços ao Consumidor Amplo Especial (IPCA-E). </w:t>
      </w:r>
      <w:r w:rsidRPr="0055639E">
        <w:rPr>
          <w:rFonts w:eastAsia="Times New Roman" w:cstheme="minorHAnsi"/>
          <w:color w:val="000000"/>
          <w:sz w:val="24"/>
          <w:szCs w:val="24"/>
          <w:lang w:eastAsia="pt-BR"/>
        </w:rPr>
        <w:t xml:space="preserve">Foi ainda </w:t>
      </w:r>
      <w:r w:rsidR="00141856" w:rsidRPr="0055639E">
        <w:rPr>
          <w:rFonts w:eastAsia="Times New Roman" w:cstheme="minorHAnsi"/>
          <w:color w:val="000000"/>
          <w:sz w:val="24"/>
          <w:szCs w:val="24"/>
          <w:lang w:eastAsia="pt-BR"/>
        </w:rPr>
        <w:t>estabelecido que será aberto aos Estados e Municípios, em um prazo de até 6 meses, uma linha de crédito especial para pagamento dos precatórios</w:t>
      </w:r>
      <w:r w:rsidRPr="0055639E">
        <w:rPr>
          <w:rFonts w:eastAsia="Times New Roman" w:cstheme="minorHAnsi"/>
          <w:color w:val="000000"/>
          <w:sz w:val="24"/>
          <w:szCs w:val="24"/>
          <w:lang w:eastAsia="pt-BR"/>
        </w:rPr>
        <w:t>.</w:t>
      </w:r>
      <w:r w:rsidRPr="002E0B30">
        <w:rPr>
          <w:rFonts w:eastAsia="Times New Roman" w:cstheme="minorHAnsi"/>
          <w:color w:val="000000"/>
          <w:sz w:val="24"/>
          <w:szCs w:val="24"/>
          <w:lang w:eastAsia="pt-BR"/>
        </w:rPr>
        <w:t xml:space="preserve"> </w:t>
      </w:r>
    </w:p>
    <w:p w14:paraId="61CDCEAD" w14:textId="77777777" w:rsidR="00125E02" w:rsidRPr="002E0B30" w:rsidRDefault="00125E02" w:rsidP="00125E02">
      <w:pPr>
        <w:spacing w:after="0" w:line="240" w:lineRule="auto"/>
        <w:jc w:val="both"/>
        <w:rPr>
          <w:rFonts w:eastAsia="Times New Roman" w:cstheme="minorHAnsi"/>
          <w:color w:val="000000"/>
          <w:sz w:val="24"/>
          <w:szCs w:val="24"/>
          <w:lang w:eastAsia="pt-BR"/>
        </w:rPr>
      </w:pPr>
    </w:p>
    <w:p w14:paraId="1856D52E" w14:textId="77777777" w:rsidR="004C12AF" w:rsidRPr="00D40471" w:rsidRDefault="004C12AF" w:rsidP="00125E02">
      <w:pPr>
        <w:spacing w:after="0" w:line="240" w:lineRule="auto"/>
        <w:jc w:val="both"/>
        <w:rPr>
          <w:rFonts w:eastAsia="Times New Roman" w:cstheme="minorHAnsi"/>
          <w:sz w:val="24"/>
          <w:szCs w:val="24"/>
          <w:lang w:eastAsia="pt-BR"/>
        </w:rPr>
      </w:pPr>
      <w:r w:rsidRPr="00D40471">
        <w:rPr>
          <w:rFonts w:eastAsia="Times New Roman" w:cstheme="minorHAnsi"/>
          <w:color w:val="000000"/>
          <w:sz w:val="24"/>
          <w:szCs w:val="24"/>
          <w:lang w:eastAsia="pt-BR"/>
        </w:rPr>
        <w:t xml:space="preserve">Ademais, o Plenário da Câmara dos Deputados aprovou em dezembro, em segundo turno, a Proposta de Emenda à Constituição (PEC) nº 74/15, que muda o regime especial de pagamento de precatórios para viabilizar a utilização de fontes não orçamentárias para quitação da dívida de precatórios por parte de alguns Estados e Municípios que não possuem disponibilidade financeira pagar toda a dívida nos próximos cinco anos. </w:t>
      </w:r>
    </w:p>
    <w:p w14:paraId="6BB9E253" w14:textId="77777777" w:rsidR="00125E02" w:rsidRPr="00D40471" w:rsidRDefault="00125E02" w:rsidP="00125E02">
      <w:pPr>
        <w:spacing w:after="0" w:line="240" w:lineRule="auto"/>
        <w:jc w:val="both"/>
        <w:rPr>
          <w:rFonts w:eastAsia="Times New Roman" w:cstheme="minorHAnsi"/>
          <w:color w:val="000000"/>
          <w:sz w:val="24"/>
          <w:szCs w:val="24"/>
          <w:lang w:eastAsia="pt-BR"/>
        </w:rPr>
      </w:pPr>
    </w:p>
    <w:p w14:paraId="75E06D87" w14:textId="77777777" w:rsidR="004C12AF" w:rsidRPr="00B26B74" w:rsidRDefault="004C12AF" w:rsidP="00125E02">
      <w:pPr>
        <w:spacing w:after="0" w:line="240" w:lineRule="auto"/>
        <w:jc w:val="both"/>
        <w:rPr>
          <w:rFonts w:eastAsia="Times New Roman" w:cstheme="minorHAnsi"/>
          <w:sz w:val="24"/>
          <w:szCs w:val="24"/>
          <w:lang w:eastAsia="pt-BR"/>
        </w:rPr>
      </w:pPr>
      <w:r w:rsidRPr="00D40471">
        <w:rPr>
          <w:rFonts w:eastAsia="Times New Roman" w:cstheme="minorHAnsi"/>
          <w:color w:val="000000"/>
          <w:sz w:val="24"/>
          <w:szCs w:val="24"/>
          <w:lang w:eastAsia="pt-BR"/>
        </w:rPr>
        <w:t xml:space="preserve">Insta consignar que recente decisão do Supremo Tribunal Federal (STF) reabriu a discussão referente à constitucionalidade da Emenda 62/09 ao converter o julgamento das </w:t>
      </w:r>
      <w:proofErr w:type="spellStart"/>
      <w:r w:rsidRPr="00D40471">
        <w:rPr>
          <w:rFonts w:eastAsia="Times New Roman" w:cstheme="minorHAnsi"/>
          <w:color w:val="000000"/>
          <w:sz w:val="24"/>
          <w:szCs w:val="24"/>
          <w:lang w:eastAsia="pt-BR"/>
        </w:rPr>
        <w:t>ADIs</w:t>
      </w:r>
      <w:proofErr w:type="spellEnd"/>
      <w:r w:rsidRPr="00D40471">
        <w:rPr>
          <w:rFonts w:eastAsia="Times New Roman" w:cstheme="minorHAnsi"/>
          <w:color w:val="000000"/>
          <w:sz w:val="24"/>
          <w:szCs w:val="24"/>
          <w:lang w:eastAsia="pt-BR"/>
        </w:rPr>
        <w:t xml:space="preserve"> 4357 e 4425 em diligência para permitir a intervenção de todos os interessados na causa.</w:t>
      </w:r>
    </w:p>
    <w:p w14:paraId="66204FF1" w14:textId="77777777" w:rsidR="00125E02" w:rsidRPr="00B26B74" w:rsidRDefault="00125E02" w:rsidP="00125E02">
      <w:pPr>
        <w:spacing w:after="0" w:line="240" w:lineRule="auto"/>
        <w:rPr>
          <w:rFonts w:eastAsia="Times New Roman" w:cstheme="minorHAnsi"/>
          <w:sz w:val="24"/>
          <w:szCs w:val="24"/>
          <w:lang w:eastAsia="pt-BR"/>
        </w:rPr>
      </w:pPr>
    </w:p>
    <w:p w14:paraId="2DBF0D7D" w14:textId="77777777" w:rsidR="00125E02" w:rsidRDefault="00125E02" w:rsidP="00125E02">
      <w:pPr>
        <w:spacing w:after="0" w:line="240" w:lineRule="auto"/>
        <w:rPr>
          <w:rFonts w:eastAsia="Times New Roman" w:cstheme="minorHAnsi"/>
          <w:sz w:val="24"/>
          <w:szCs w:val="24"/>
          <w:lang w:eastAsia="pt-BR"/>
        </w:rPr>
      </w:pPr>
    </w:p>
    <w:p w14:paraId="6B62F1B3" w14:textId="2383943D" w:rsidR="00581B43" w:rsidRDefault="00581B43" w:rsidP="00125E02">
      <w:pPr>
        <w:spacing w:after="0" w:line="240" w:lineRule="auto"/>
        <w:rPr>
          <w:rFonts w:eastAsia="Times New Roman" w:cstheme="minorHAnsi"/>
          <w:sz w:val="24"/>
          <w:szCs w:val="24"/>
          <w:lang w:eastAsia="pt-BR"/>
        </w:rPr>
      </w:pPr>
      <w:r>
        <w:rPr>
          <w:rFonts w:eastAsia="Times New Roman" w:cstheme="minorHAnsi"/>
          <w:sz w:val="24"/>
          <w:szCs w:val="24"/>
          <w:lang w:eastAsia="pt-BR"/>
        </w:rPr>
        <w:br w:type="page"/>
      </w:r>
    </w:p>
    <w:p w14:paraId="10C31BA3" w14:textId="77777777" w:rsidR="004C12AF" w:rsidRPr="00B26B74" w:rsidRDefault="004C12AF" w:rsidP="00125E02">
      <w:pPr>
        <w:spacing w:after="0" w:line="240" w:lineRule="auto"/>
        <w:jc w:val="center"/>
        <w:rPr>
          <w:rFonts w:eastAsia="Times New Roman" w:cstheme="minorHAnsi"/>
          <w:sz w:val="24"/>
          <w:szCs w:val="24"/>
          <w:lang w:eastAsia="pt-BR"/>
        </w:rPr>
      </w:pPr>
      <w:r w:rsidRPr="00B26B74">
        <w:rPr>
          <w:rFonts w:eastAsia="Times New Roman" w:cstheme="minorHAnsi"/>
          <w:color w:val="000000"/>
          <w:sz w:val="24"/>
          <w:szCs w:val="24"/>
          <w:lang w:eastAsia="pt-BR"/>
        </w:rPr>
        <w:lastRenderedPageBreak/>
        <w:t>MUNICÍPIO DE CONTAGEM - MG</w:t>
      </w:r>
    </w:p>
    <w:p w14:paraId="3FC98FDB" w14:textId="77777777" w:rsidR="004C12AF" w:rsidRPr="00B26B74" w:rsidRDefault="004C12AF" w:rsidP="00125E02">
      <w:pPr>
        <w:spacing w:after="0" w:line="240" w:lineRule="auto"/>
        <w:jc w:val="center"/>
        <w:rPr>
          <w:rFonts w:eastAsia="Times New Roman" w:cstheme="minorHAnsi"/>
          <w:sz w:val="24"/>
          <w:szCs w:val="24"/>
          <w:lang w:eastAsia="pt-BR"/>
        </w:rPr>
      </w:pPr>
      <w:r w:rsidRPr="00B26B74">
        <w:rPr>
          <w:rFonts w:eastAsia="Times New Roman" w:cstheme="minorHAnsi"/>
          <w:color w:val="000000"/>
          <w:sz w:val="24"/>
          <w:szCs w:val="24"/>
          <w:lang w:eastAsia="pt-BR"/>
        </w:rPr>
        <w:t>LEI DE DIRETRIZES ORÇAMENTÁRIAS</w:t>
      </w:r>
    </w:p>
    <w:p w14:paraId="79AD9146" w14:textId="77777777" w:rsidR="004C12AF" w:rsidRPr="00B26B74" w:rsidRDefault="004C12AF" w:rsidP="00125E02">
      <w:pPr>
        <w:spacing w:after="0" w:line="240" w:lineRule="auto"/>
        <w:jc w:val="center"/>
        <w:rPr>
          <w:rFonts w:eastAsia="Times New Roman" w:cstheme="minorHAnsi"/>
          <w:sz w:val="24"/>
          <w:szCs w:val="24"/>
          <w:lang w:eastAsia="pt-BR"/>
        </w:rPr>
      </w:pPr>
      <w:r w:rsidRPr="00B26B74">
        <w:rPr>
          <w:rFonts w:eastAsia="Times New Roman" w:cstheme="minorHAnsi"/>
          <w:color w:val="000000"/>
          <w:sz w:val="24"/>
          <w:szCs w:val="24"/>
          <w:lang w:eastAsia="pt-BR"/>
        </w:rPr>
        <w:t>ANEXO DE RISCOS FISCAIS</w:t>
      </w:r>
    </w:p>
    <w:p w14:paraId="59EF70D7" w14:textId="77777777" w:rsidR="004C12AF" w:rsidRPr="00B26B74" w:rsidRDefault="004C12AF" w:rsidP="00125E02">
      <w:pPr>
        <w:spacing w:after="0" w:line="240" w:lineRule="auto"/>
        <w:jc w:val="center"/>
        <w:rPr>
          <w:rFonts w:eastAsia="Times New Roman" w:cstheme="minorHAnsi"/>
          <w:sz w:val="24"/>
          <w:szCs w:val="24"/>
          <w:lang w:eastAsia="pt-BR"/>
        </w:rPr>
      </w:pPr>
      <w:r w:rsidRPr="00B26B74">
        <w:rPr>
          <w:rFonts w:eastAsia="Times New Roman" w:cstheme="minorHAnsi"/>
          <w:b/>
          <w:bCs/>
          <w:color w:val="000000"/>
          <w:sz w:val="24"/>
          <w:szCs w:val="24"/>
          <w:lang w:eastAsia="pt-BR"/>
        </w:rPr>
        <w:t>DEMONSTRATIVO DE RISCOS FISCAIS E PROVIDÊNCIAS</w:t>
      </w:r>
    </w:p>
    <w:p w14:paraId="5C61D62B" w14:textId="09CE8B43" w:rsidR="004C12AF" w:rsidRPr="00473CE1" w:rsidRDefault="004C12AF" w:rsidP="00125E02">
      <w:pPr>
        <w:spacing w:after="0" w:line="240" w:lineRule="auto"/>
        <w:jc w:val="center"/>
        <w:rPr>
          <w:rFonts w:eastAsia="Times New Roman" w:cstheme="minorHAnsi"/>
          <w:sz w:val="24"/>
          <w:szCs w:val="24"/>
          <w:lang w:eastAsia="pt-BR"/>
        </w:rPr>
      </w:pPr>
      <w:r w:rsidRPr="00473CE1">
        <w:rPr>
          <w:rFonts w:eastAsia="Times New Roman" w:cstheme="minorHAnsi"/>
          <w:bCs/>
          <w:color w:val="000000"/>
          <w:sz w:val="24"/>
          <w:szCs w:val="24"/>
          <w:lang w:eastAsia="pt-BR"/>
        </w:rPr>
        <w:t>201</w:t>
      </w:r>
      <w:r w:rsidR="00581B43" w:rsidRPr="00473CE1">
        <w:rPr>
          <w:rFonts w:eastAsia="Times New Roman" w:cstheme="minorHAnsi"/>
          <w:bCs/>
          <w:color w:val="000000"/>
          <w:sz w:val="24"/>
          <w:szCs w:val="24"/>
          <w:lang w:eastAsia="pt-BR"/>
        </w:rPr>
        <w:t>9</w:t>
      </w:r>
    </w:p>
    <w:p w14:paraId="6BD18F9B" w14:textId="77777777" w:rsidR="004C12AF" w:rsidRPr="00B26B74" w:rsidRDefault="004C12AF" w:rsidP="00125E02">
      <w:pPr>
        <w:spacing w:after="0" w:line="240" w:lineRule="auto"/>
        <w:rPr>
          <w:rFonts w:eastAsia="Times New Roman" w:cstheme="minorHAnsi"/>
          <w:sz w:val="24"/>
          <w:szCs w:val="24"/>
          <w:lang w:eastAsia="pt-BR"/>
        </w:rPr>
      </w:pPr>
    </w:p>
    <w:p w14:paraId="7F0547A4" w14:textId="6F9450D6" w:rsidR="004C12AF" w:rsidRDefault="004C12AF" w:rsidP="00125E02">
      <w:pPr>
        <w:spacing w:after="0" w:line="240" w:lineRule="auto"/>
        <w:jc w:val="both"/>
        <w:rPr>
          <w:rFonts w:eastAsia="Times New Roman" w:cstheme="minorHAnsi"/>
          <w:color w:val="000000"/>
          <w:sz w:val="24"/>
          <w:szCs w:val="24"/>
          <w:lang w:eastAsia="pt-BR"/>
        </w:rPr>
      </w:pPr>
      <w:r w:rsidRPr="00B26B74">
        <w:rPr>
          <w:rFonts w:eastAsia="Times New Roman" w:cstheme="minorHAnsi"/>
          <w:color w:val="000000"/>
          <w:sz w:val="24"/>
          <w:szCs w:val="24"/>
          <w:lang w:eastAsia="pt-BR"/>
        </w:rPr>
        <w:t xml:space="preserve">Tabela 1 – Demonstrativo dos Riscos </w:t>
      </w:r>
      <w:r w:rsidR="00144EEE" w:rsidRPr="00B26B74">
        <w:rPr>
          <w:rFonts w:eastAsia="Times New Roman" w:cstheme="minorHAnsi"/>
          <w:color w:val="000000"/>
          <w:sz w:val="24"/>
          <w:szCs w:val="24"/>
          <w:lang w:eastAsia="pt-BR"/>
        </w:rPr>
        <w:t xml:space="preserve">decorrentes da </w:t>
      </w:r>
      <w:r w:rsidR="003C3D56">
        <w:rPr>
          <w:rFonts w:eastAsia="Times New Roman" w:cstheme="minorHAnsi"/>
          <w:color w:val="000000"/>
          <w:sz w:val="24"/>
          <w:szCs w:val="24"/>
          <w:lang w:eastAsia="pt-BR"/>
        </w:rPr>
        <w:t>P</w:t>
      </w:r>
      <w:r w:rsidR="00144EEE" w:rsidRPr="00B26B74">
        <w:rPr>
          <w:rFonts w:eastAsia="Times New Roman" w:cstheme="minorHAnsi"/>
          <w:color w:val="000000"/>
          <w:sz w:val="24"/>
          <w:szCs w:val="24"/>
          <w:lang w:eastAsia="pt-BR"/>
        </w:rPr>
        <w:t xml:space="preserve">revisão de </w:t>
      </w:r>
      <w:r w:rsidR="003C3D56">
        <w:rPr>
          <w:rFonts w:eastAsia="Times New Roman" w:cstheme="minorHAnsi"/>
          <w:color w:val="000000"/>
          <w:sz w:val="24"/>
          <w:szCs w:val="24"/>
          <w:lang w:eastAsia="pt-BR"/>
        </w:rPr>
        <w:t>R</w:t>
      </w:r>
      <w:r w:rsidR="00144EEE" w:rsidRPr="00B26B74">
        <w:rPr>
          <w:rFonts w:eastAsia="Times New Roman" w:cstheme="minorHAnsi"/>
          <w:color w:val="000000"/>
          <w:sz w:val="24"/>
          <w:szCs w:val="24"/>
          <w:lang w:eastAsia="pt-BR"/>
        </w:rPr>
        <w:t>eceita</w:t>
      </w:r>
    </w:p>
    <w:p w14:paraId="41B67993" w14:textId="6C2F1C08" w:rsidR="004C12AF" w:rsidRPr="00581B43" w:rsidRDefault="004C12AF" w:rsidP="00125E02">
      <w:pPr>
        <w:spacing w:after="0" w:line="240" w:lineRule="auto"/>
        <w:jc w:val="both"/>
        <w:rPr>
          <w:rFonts w:eastAsia="Times New Roman" w:cstheme="minorHAnsi"/>
          <w:sz w:val="20"/>
          <w:szCs w:val="20"/>
          <w:lang w:eastAsia="pt-BR"/>
        </w:rPr>
      </w:pPr>
      <w:r w:rsidRPr="00581B43">
        <w:rPr>
          <w:rFonts w:eastAsia="Times New Roman" w:cstheme="minorHAnsi"/>
          <w:color w:val="000000"/>
          <w:sz w:val="20"/>
          <w:szCs w:val="20"/>
          <w:lang w:eastAsia="pt-BR"/>
        </w:rPr>
        <w:t xml:space="preserve">LRF, </w:t>
      </w:r>
      <w:proofErr w:type="spellStart"/>
      <w:r w:rsidRPr="00581B43">
        <w:rPr>
          <w:rFonts w:eastAsia="Times New Roman" w:cstheme="minorHAnsi"/>
          <w:color w:val="000000"/>
          <w:sz w:val="20"/>
          <w:szCs w:val="20"/>
          <w:lang w:eastAsia="pt-BR"/>
        </w:rPr>
        <w:t>art</w:t>
      </w:r>
      <w:proofErr w:type="spellEnd"/>
      <w:r w:rsidRPr="00581B43">
        <w:rPr>
          <w:rFonts w:eastAsia="Times New Roman" w:cstheme="minorHAnsi"/>
          <w:color w:val="000000"/>
          <w:sz w:val="20"/>
          <w:szCs w:val="20"/>
          <w:lang w:eastAsia="pt-BR"/>
        </w:rPr>
        <w:t xml:space="preserve"> 4º, § 3º</w:t>
      </w:r>
      <w:r w:rsidR="00581B43" w:rsidRPr="00581B43">
        <w:rPr>
          <w:rFonts w:eastAsia="Times New Roman" w:cstheme="minorHAnsi"/>
          <w:color w:val="000000"/>
          <w:sz w:val="20"/>
          <w:szCs w:val="20"/>
          <w:lang w:eastAsia="pt-BR"/>
        </w:rPr>
        <w:tab/>
      </w:r>
      <w:r w:rsidR="00581B43" w:rsidRPr="00581B43">
        <w:rPr>
          <w:rFonts w:eastAsia="Times New Roman" w:cstheme="minorHAnsi"/>
          <w:color w:val="000000"/>
          <w:sz w:val="20"/>
          <w:szCs w:val="20"/>
          <w:lang w:eastAsia="pt-BR"/>
        </w:rPr>
        <w:tab/>
      </w:r>
      <w:r w:rsidR="00581B43" w:rsidRPr="00581B43">
        <w:rPr>
          <w:rFonts w:eastAsia="Times New Roman" w:cstheme="minorHAnsi"/>
          <w:color w:val="000000"/>
          <w:sz w:val="20"/>
          <w:szCs w:val="20"/>
          <w:lang w:eastAsia="pt-BR"/>
        </w:rPr>
        <w:tab/>
      </w:r>
      <w:r w:rsidR="00581B43" w:rsidRPr="00581B43">
        <w:rPr>
          <w:rFonts w:eastAsia="Times New Roman" w:cstheme="minorHAnsi"/>
          <w:color w:val="000000"/>
          <w:sz w:val="20"/>
          <w:szCs w:val="20"/>
          <w:lang w:eastAsia="pt-BR"/>
        </w:rPr>
        <w:tab/>
      </w:r>
      <w:r w:rsidR="00581B43" w:rsidRPr="00581B43">
        <w:rPr>
          <w:rFonts w:eastAsia="Times New Roman" w:cstheme="minorHAnsi"/>
          <w:color w:val="000000"/>
          <w:sz w:val="20"/>
          <w:szCs w:val="20"/>
          <w:lang w:eastAsia="pt-BR"/>
        </w:rPr>
        <w:tab/>
      </w:r>
      <w:r w:rsidR="00581B43" w:rsidRPr="00581B43">
        <w:rPr>
          <w:rFonts w:eastAsia="Times New Roman" w:cstheme="minorHAnsi"/>
          <w:color w:val="000000"/>
          <w:sz w:val="20"/>
          <w:szCs w:val="20"/>
          <w:lang w:eastAsia="pt-BR"/>
        </w:rPr>
        <w:tab/>
      </w:r>
      <w:r w:rsidR="00581B43">
        <w:rPr>
          <w:rFonts w:eastAsia="Times New Roman" w:cstheme="minorHAnsi"/>
          <w:color w:val="000000"/>
          <w:sz w:val="20"/>
          <w:szCs w:val="20"/>
          <w:lang w:eastAsia="pt-BR"/>
        </w:rPr>
        <w:tab/>
      </w:r>
      <w:r w:rsidR="00581B43">
        <w:rPr>
          <w:rFonts w:eastAsia="Times New Roman" w:cstheme="minorHAnsi"/>
          <w:color w:val="000000"/>
          <w:sz w:val="20"/>
          <w:szCs w:val="20"/>
          <w:lang w:eastAsia="pt-BR"/>
        </w:rPr>
        <w:tab/>
      </w:r>
      <w:r w:rsidR="00581B43" w:rsidRPr="00581B43">
        <w:rPr>
          <w:rFonts w:eastAsia="Times New Roman" w:cstheme="minorHAnsi"/>
          <w:color w:val="000000"/>
          <w:sz w:val="20"/>
          <w:szCs w:val="20"/>
          <w:lang w:eastAsia="pt-BR"/>
        </w:rPr>
        <w:tab/>
      </w:r>
      <w:r w:rsidR="00581B43" w:rsidRPr="00581B43">
        <w:rPr>
          <w:rFonts w:eastAsia="Times New Roman" w:cstheme="minorHAnsi"/>
          <w:color w:val="000000"/>
          <w:sz w:val="20"/>
          <w:szCs w:val="20"/>
          <w:lang w:eastAsia="pt-BR"/>
        </w:rPr>
        <w:tab/>
      </w:r>
      <w:r w:rsidR="00581B43">
        <w:rPr>
          <w:rFonts w:eastAsia="Times New Roman" w:cstheme="minorHAnsi"/>
          <w:color w:val="000000"/>
          <w:sz w:val="20"/>
          <w:szCs w:val="20"/>
          <w:lang w:eastAsia="pt-BR"/>
        </w:rPr>
        <w:t xml:space="preserve">          </w:t>
      </w:r>
      <w:r w:rsidRPr="00581B43">
        <w:rPr>
          <w:rFonts w:eastAsia="Times New Roman" w:cstheme="minorHAnsi"/>
          <w:color w:val="000000"/>
          <w:sz w:val="20"/>
          <w:szCs w:val="20"/>
          <w:lang w:eastAsia="pt-BR"/>
        </w:rPr>
        <w:t>R$</w:t>
      </w:r>
      <w:r w:rsidR="00144EEE" w:rsidRPr="00581B43">
        <w:rPr>
          <w:rFonts w:eastAsia="Times New Roman" w:cstheme="minorHAnsi"/>
          <w:color w:val="000000"/>
          <w:sz w:val="20"/>
          <w:szCs w:val="20"/>
          <w:lang w:eastAsia="pt-BR"/>
        </w:rPr>
        <w:t>1,00</w:t>
      </w:r>
    </w:p>
    <w:tbl>
      <w:tblPr>
        <w:tblStyle w:val="Tabelacomgrade"/>
        <w:tblW w:w="8935" w:type="dxa"/>
        <w:tblLook w:val="04A0" w:firstRow="1" w:lastRow="0" w:firstColumn="1" w:lastColumn="0" w:noHBand="0" w:noVBand="1"/>
      </w:tblPr>
      <w:tblGrid>
        <w:gridCol w:w="3615"/>
        <w:gridCol w:w="1728"/>
        <w:gridCol w:w="3592"/>
      </w:tblGrid>
      <w:tr w:rsidR="00D83043" w:rsidRPr="00B26B74" w14:paraId="18C05117" w14:textId="77777777" w:rsidTr="003C3D56">
        <w:trPr>
          <w:trHeight w:val="315"/>
        </w:trPr>
        <w:tc>
          <w:tcPr>
            <w:tcW w:w="5114" w:type="dxa"/>
            <w:gridSpan w:val="2"/>
            <w:hideMark/>
          </w:tcPr>
          <w:p w14:paraId="4EDB4CD0" w14:textId="77777777" w:rsidR="00D83043" w:rsidRPr="00581B43" w:rsidRDefault="00D83043" w:rsidP="00125E02">
            <w:pPr>
              <w:jc w:val="center"/>
              <w:rPr>
                <w:rFonts w:eastAsia="Times New Roman" w:cstheme="minorHAnsi"/>
                <w:b/>
                <w:color w:val="000000"/>
                <w:lang w:eastAsia="pt-BR"/>
              </w:rPr>
            </w:pPr>
            <w:r w:rsidRPr="00581B43">
              <w:rPr>
                <w:rFonts w:eastAsia="Times New Roman" w:cstheme="minorHAnsi"/>
                <w:b/>
                <w:color w:val="000000"/>
                <w:lang w:eastAsia="pt-BR"/>
              </w:rPr>
              <w:t>RISCOS FISCAIS</w:t>
            </w:r>
          </w:p>
        </w:tc>
        <w:tc>
          <w:tcPr>
            <w:tcW w:w="3821" w:type="dxa"/>
            <w:hideMark/>
          </w:tcPr>
          <w:p w14:paraId="3738CB1B" w14:textId="77777777" w:rsidR="00D83043" w:rsidRPr="00581B43" w:rsidRDefault="00D83043" w:rsidP="00125E02">
            <w:pPr>
              <w:jc w:val="center"/>
              <w:rPr>
                <w:rFonts w:eastAsia="Times New Roman" w:cstheme="minorHAnsi"/>
                <w:b/>
                <w:color w:val="000000"/>
                <w:lang w:eastAsia="pt-BR"/>
              </w:rPr>
            </w:pPr>
            <w:r w:rsidRPr="00581B43">
              <w:rPr>
                <w:rFonts w:eastAsia="Times New Roman" w:cstheme="minorHAnsi"/>
                <w:b/>
                <w:color w:val="000000"/>
                <w:lang w:eastAsia="pt-BR"/>
              </w:rPr>
              <w:t>PROVIDÊNCIAS</w:t>
            </w:r>
          </w:p>
        </w:tc>
      </w:tr>
      <w:tr w:rsidR="00D83043" w:rsidRPr="00B26B74" w14:paraId="3AFBCED3" w14:textId="77777777" w:rsidTr="003C3D56">
        <w:trPr>
          <w:trHeight w:val="329"/>
        </w:trPr>
        <w:tc>
          <w:tcPr>
            <w:tcW w:w="3823" w:type="dxa"/>
            <w:hideMark/>
          </w:tcPr>
          <w:p w14:paraId="212251CE" w14:textId="77777777" w:rsidR="00D83043" w:rsidRPr="00581B43" w:rsidRDefault="00D83043" w:rsidP="00125E02">
            <w:pPr>
              <w:jc w:val="center"/>
              <w:rPr>
                <w:rFonts w:eastAsia="Times New Roman" w:cstheme="minorHAnsi"/>
                <w:color w:val="000000"/>
                <w:lang w:eastAsia="pt-BR"/>
              </w:rPr>
            </w:pPr>
            <w:r w:rsidRPr="00581B43">
              <w:rPr>
                <w:rFonts w:eastAsia="Times New Roman" w:cstheme="minorHAnsi"/>
                <w:color w:val="000000"/>
                <w:lang w:eastAsia="pt-BR"/>
              </w:rPr>
              <w:t>Descrição</w:t>
            </w:r>
          </w:p>
        </w:tc>
        <w:tc>
          <w:tcPr>
            <w:tcW w:w="1291" w:type="dxa"/>
            <w:hideMark/>
          </w:tcPr>
          <w:p w14:paraId="1A62781E" w14:textId="77777777" w:rsidR="00D83043" w:rsidRPr="00581B43" w:rsidRDefault="00D83043" w:rsidP="00125E02">
            <w:pPr>
              <w:jc w:val="center"/>
              <w:rPr>
                <w:rFonts w:eastAsia="Times New Roman" w:cstheme="minorHAnsi"/>
                <w:color w:val="000000"/>
                <w:lang w:eastAsia="pt-BR"/>
              </w:rPr>
            </w:pPr>
            <w:r w:rsidRPr="00581B43">
              <w:rPr>
                <w:rFonts w:eastAsia="Times New Roman" w:cstheme="minorHAnsi"/>
                <w:color w:val="000000"/>
                <w:lang w:eastAsia="pt-BR"/>
              </w:rPr>
              <w:t>Valor</w:t>
            </w:r>
          </w:p>
        </w:tc>
        <w:tc>
          <w:tcPr>
            <w:tcW w:w="3821" w:type="dxa"/>
            <w:hideMark/>
          </w:tcPr>
          <w:p w14:paraId="29FCE41E" w14:textId="77777777" w:rsidR="00D83043" w:rsidRPr="00581B43" w:rsidRDefault="00D83043" w:rsidP="00125E02">
            <w:pPr>
              <w:jc w:val="center"/>
              <w:rPr>
                <w:rFonts w:eastAsia="Times New Roman" w:cstheme="minorHAnsi"/>
                <w:color w:val="000000"/>
                <w:lang w:eastAsia="pt-BR"/>
              </w:rPr>
            </w:pPr>
            <w:r w:rsidRPr="00581B43">
              <w:rPr>
                <w:rFonts w:eastAsia="Times New Roman" w:cstheme="minorHAnsi"/>
                <w:color w:val="000000"/>
                <w:lang w:eastAsia="pt-BR"/>
              </w:rPr>
              <w:t>Descrição</w:t>
            </w:r>
          </w:p>
        </w:tc>
      </w:tr>
      <w:tr w:rsidR="00D83043" w:rsidRPr="00B26B74" w14:paraId="498053A5" w14:textId="77777777" w:rsidTr="003C3D56">
        <w:trPr>
          <w:trHeight w:val="315"/>
        </w:trPr>
        <w:tc>
          <w:tcPr>
            <w:tcW w:w="3823" w:type="dxa"/>
            <w:vMerge w:val="restart"/>
            <w:hideMark/>
          </w:tcPr>
          <w:p w14:paraId="2AEDCB76" w14:textId="77777777" w:rsidR="009C1E6C" w:rsidRPr="00581B43" w:rsidRDefault="00C66F12" w:rsidP="009C1E6C">
            <w:pPr>
              <w:jc w:val="both"/>
              <w:rPr>
                <w:rFonts w:eastAsia="Times New Roman" w:cstheme="minorHAnsi"/>
                <w:color w:val="000000"/>
                <w:lang w:eastAsia="pt-BR"/>
              </w:rPr>
            </w:pPr>
            <w:r w:rsidRPr="00581B43">
              <w:rPr>
                <w:rFonts w:eastAsia="Times New Roman" w:cstheme="minorHAnsi"/>
                <w:color w:val="000000"/>
                <w:lang w:eastAsia="pt-BR"/>
              </w:rPr>
              <w:t>Procedência da</w:t>
            </w:r>
            <w:r w:rsidR="006333FB" w:rsidRPr="00581B43">
              <w:rPr>
                <w:rFonts w:eastAsia="Times New Roman" w:cstheme="minorHAnsi"/>
                <w:color w:val="000000"/>
                <w:lang w:eastAsia="pt-BR"/>
              </w:rPr>
              <w:t xml:space="preserve"> ADI ajuizada pela Federação Sindical em que se pretende a </w:t>
            </w:r>
            <w:r w:rsidR="009C1E6C" w:rsidRPr="00581B43">
              <w:rPr>
                <w:rFonts w:eastAsia="Times New Roman" w:cstheme="minorHAnsi"/>
                <w:color w:val="000000"/>
                <w:lang w:eastAsia="pt-BR"/>
              </w:rPr>
              <w:t xml:space="preserve">declaração de </w:t>
            </w:r>
            <w:r w:rsidR="006333FB" w:rsidRPr="00581B43">
              <w:rPr>
                <w:rFonts w:eastAsia="Times New Roman" w:cstheme="minorHAnsi"/>
                <w:color w:val="000000"/>
                <w:lang w:eastAsia="pt-BR"/>
              </w:rPr>
              <w:t xml:space="preserve">inconstitucionalidade </w:t>
            </w:r>
            <w:r w:rsidR="00922A0C" w:rsidRPr="00581B43">
              <w:rPr>
                <w:rFonts w:eastAsia="Times New Roman" w:cstheme="minorHAnsi"/>
                <w:color w:val="000000"/>
                <w:lang w:eastAsia="pt-BR"/>
              </w:rPr>
              <w:t>do art. 2º da LC 214/17</w:t>
            </w:r>
            <w:r w:rsidR="00D83043" w:rsidRPr="00581B43">
              <w:rPr>
                <w:rFonts w:eastAsia="Times New Roman" w:cstheme="minorHAnsi"/>
                <w:color w:val="000000"/>
                <w:lang w:eastAsia="pt-BR"/>
              </w:rPr>
              <w:t>.</w:t>
            </w:r>
          </w:p>
          <w:p w14:paraId="7C452636" w14:textId="77777777" w:rsidR="00D83043" w:rsidRPr="00581B43" w:rsidRDefault="00D83043" w:rsidP="009C1E6C">
            <w:pPr>
              <w:jc w:val="center"/>
              <w:rPr>
                <w:rFonts w:eastAsia="Times New Roman" w:cstheme="minorHAnsi"/>
                <w:color w:val="000000"/>
                <w:lang w:eastAsia="pt-BR"/>
              </w:rPr>
            </w:pPr>
            <w:r w:rsidRPr="00581B43">
              <w:rPr>
                <w:rFonts w:eastAsia="Times New Roman" w:cstheme="minorHAnsi"/>
                <w:b/>
                <w:bCs/>
                <w:color w:val="000000"/>
                <w:lang w:eastAsia="pt-BR"/>
              </w:rPr>
              <w:t>Impacto negativo na arrecadação.</w:t>
            </w:r>
          </w:p>
        </w:tc>
        <w:tc>
          <w:tcPr>
            <w:tcW w:w="1291" w:type="dxa"/>
            <w:vMerge w:val="restart"/>
            <w:hideMark/>
          </w:tcPr>
          <w:p w14:paraId="4E7B3470" w14:textId="0F442717" w:rsidR="00D83043" w:rsidRPr="00581B43" w:rsidRDefault="00D83043" w:rsidP="000B41DB">
            <w:pPr>
              <w:jc w:val="center"/>
              <w:rPr>
                <w:rFonts w:eastAsia="Times New Roman" w:cstheme="minorHAnsi"/>
                <w:color w:val="000000"/>
                <w:lang w:eastAsia="pt-BR"/>
              </w:rPr>
            </w:pPr>
            <w:r w:rsidRPr="00581B43">
              <w:rPr>
                <w:rFonts w:eastAsia="Times New Roman" w:cstheme="minorHAnsi"/>
                <w:color w:val="000000"/>
                <w:lang w:eastAsia="pt-BR"/>
              </w:rPr>
              <w:t xml:space="preserve">R$ </w:t>
            </w:r>
            <w:r w:rsidR="00451123" w:rsidRPr="00581B43">
              <w:rPr>
                <w:rFonts w:eastAsia="Times New Roman" w:cstheme="minorHAnsi"/>
                <w:color w:val="000000"/>
                <w:lang w:eastAsia="pt-BR"/>
              </w:rPr>
              <w:t>70 milhões</w:t>
            </w:r>
          </w:p>
        </w:tc>
        <w:tc>
          <w:tcPr>
            <w:tcW w:w="3821" w:type="dxa"/>
            <w:vMerge w:val="restart"/>
            <w:hideMark/>
          </w:tcPr>
          <w:p w14:paraId="4A3FC93F" w14:textId="77777777" w:rsidR="00D83043" w:rsidRPr="00581B43" w:rsidRDefault="00D83043" w:rsidP="00EE4593">
            <w:pPr>
              <w:jc w:val="center"/>
              <w:rPr>
                <w:rFonts w:eastAsia="Times New Roman" w:cstheme="minorHAnsi"/>
                <w:color w:val="000000"/>
                <w:lang w:eastAsia="pt-BR"/>
              </w:rPr>
            </w:pPr>
            <w:r w:rsidRPr="00581B43">
              <w:rPr>
                <w:rFonts w:eastAsia="Times New Roman" w:cstheme="minorHAnsi"/>
                <w:color w:val="000000"/>
                <w:lang w:eastAsia="pt-BR"/>
              </w:rPr>
              <w:t xml:space="preserve">Demonstrar à sociedade e ao poder </w:t>
            </w:r>
            <w:r w:rsidR="00C66F12" w:rsidRPr="00581B43">
              <w:rPr>
                <w:rFonts w:eastAsia="Times New Roman" w:cstheme="minorHAnsi"/>
                <w:color w:val="000000"/>
                <w:lang w:eastAsia="pt-BR"/>
              </w:rPr>
              <w:t>judiciário a constitucionalidade da legislação do IPTU</w:t>
            </w:r>
            <w:r w:rsidRPr="00581B43">
              <w:rPr>
                <w:rFonts w:eastAsia="Times New Roman" w:cstheme="minorHAnsi"/>
                <w:color w:val="000000"/>
                <w:lang w:eastAsia="pt-BR"/>
              </w:rPr>
              <w:t>.</w:t>
            </w:r>
          </w:p>
        </w:tc>
      </w:tr>
      <w:tr w:rsidR="00D83043" w:rsidRPr="00B26B74" w14:paraId="5B08B5D1" w14:textId="77777777" w:rsidTr="003C3D56">
        <w:trPr>
          <w:trHeight w:val="1231"/>
        </w:trPr>
        <w:tc>
          <w:tcPr>
            <w:tcW w:w="3823" w:type="dxa"/>
            <w:vMerge/>
            <w:hideMark/>
          </w:tcPr>
          <w:p w14:paraId="16DEB4AB" w14:textId="77777777" w:rsidR="00D83043" w:rsidRPr="00581B43" w:rsidRDefault="00D83043" w:rsidP="00125E02">
            <w:pPr>
              <w:rPr>
                <w:rFonts w:eastAsia="Times New Roman" w:cstheme="minorHAnsi"/>
                <w:color w:val="000000"/>
                <w:lang w:eastAsia="pt-BR"/>
              </w:rPr>
            </w:pPr>
          </w:p>
        </w:tc>
        <w:tc>
          <w:tcPr>
            <w:tcW w:w="1291" w:type="dxa"/>
            <w:vMerge/>
            <w:hideMark/>
          </w:tcPr>
          <w:p w14:paraId="0AD9C6F4" w14:textId="77777777" w:rsidR="00D83043" w:rsidRPr="00581B43" w:rsidRDefault="00D83043" w:rsidP="000B41DB">
            <w:pPr>
              <w:jc w:val="center"/>
              <w:rPr>
                <w:rFonts w:eastAsia="Times New Roman" w:cstheme="minorHAnsi"/>
                <w:color w:val="000000"/>
                <w:lang w:eastAsia="pt-BR"/>
              </w:rPr>
            </w:pPr>
          </w:p>
        </w:tc>
        <w:tc>
          <w:tcPr>
            <w:tcW w:w="3821" w:type="dxa"/>
            <w:vMerge/>
            <w:hideMark/>
          </w:tcPr>
          <w:p w14:paraId="4B1F511A" w14:textId="77777777" w:rsidR="00D83043" w:rsidRPr="00581B43" w:rsidRDefault="00D83043" w:rsidP="00EE4593">
            <w:pPr>
              <w:jc w:val="center"/>
              <w:rPr>
                <w:rFonts w:eastAsia="Times New Roman" w:cstheme="minorHAnsi"/>
                <w:color w:val="000000"/>
                <w:lang w:eastAsia="pt-BR"/>
              </w:rPr>
            </w:pPr>
          </w:p>
        </w:tc>
      </w:tr>
      <w:tr w:rsidR="00D83043" w:rsidRPr="00B26B74" w14:paraId="35601FD4" w14:textId="77777777" w:rsidTr="003C3D56">
        <w:trPr>
          <w:trHeight w:val="1980"/>
        </w:trPr>
        <w:tc>
          <w:tcPr>
            <w:tcW w:w="3823" w:type="dxa"/>
            <w:hideMark/>
          </w:tcPr>
          <w:p w14:paraId="126DB208" w14:textId="77777777" w:rsidR="00D83043" w:rsidRPr="00581B43" w:rsidRDefault="009C1E6C" w:rsidP="009C1E6C">
            <w:pPr>
              <w:jc w:val="both"/>
              <w:rPr>
                <w:rFonts w:eastAsia="Times New Roman" w:cstheme="minorHAnsi"/>
                <w:color w:val="000000"/>
                <w:lang w:eastAsia="pt-BR"/>
              </w:rPr>
            </w:pPr>
            <w:r w:rsidRPr="00581B43">
              <w:rPr>
                <w:rFonts w:eastAsia="Times New Roman" w:cstheme="minorHAnsi"/>
                <w:color w:val="000000"/>
                <w:lang w:eastAsia="pt-BR"/>
              </w:rPr>
              <w:t xml:space="preserve">Procedência da ADI ajuizada pelo Partido Comunista do Brasil (PCdoB) em que se pretende a declaração de inconstitucionalidade </w:t>
            </w:r>
            <w:r w:rsidR="00922A0C" w:rsidRPr="00581B43">
              <w:rPr>
                <w:rFonts w:eastAsia="Times New Roman" w:cstheme="minorHAnsi"/>
                <w:color w:val="000000"/>
                <w:lang w:eastAsia="pt-BR"/>
              </w:rPr>
              <w:t>da LC 214/17 e dos Decretos 12/17 e 54/</w:t>
            </w:r>
            <w:r w:rsidRPr="00581B43">
              <w:rPr>
                <w:rFonts w:eastAsia="Times New Roman" w:cstheme="minorHAnsi"/>
                <w:color w:val="000000"/>
                <w:lang w:eastAsia="pt-BR"/>
              </w:rPr>
              <w:t>17.</w:t>
            </w:r>
          </w:p>
          <w:p w14:paraId="271C5F78" w14:textId="77777777" w:rsidR="009C1E6C" w:rsidRPr="00581B43" w:rsidRDefault="009C1E6C" w:rsidP="009C1E6C">
            <w:pPr>
              <w:jc w:val="center"/>
              <w:rPr>
                <w:rFonts w:eastAsia="Times New Roman" w:cstheme="minorHAnsi"/>
                <w:color w:val="000000"/>
                <w:lang w:eastAsia="pt-BR"/>
              </w:rPr>
            </w:pPr>
            <w:r w:rsidRPr="00581B43">
              <w:rPr>
                <w:rFonts w:eastAsia="Times New Roman" w:cstheme="minorHAnsi"/>
                <w:b/>
                <w:bCs/>
                <w:color w:val="000000"/>
                <w:lang w:eastAsia="pt-BR"/>
              </w:rPr>
              <w:t>Impacto negativo na arrecadação.</w:t>
            </w:r>
          </w:p>
        </w:tc>
        <w:tc>
          <w:tcPr>
            <w:tcW w:w="1291" w:type="dxa"/>
            <w:noWrap/>
            <w:hideMark/>
          </w:tcPr>
          <w:p w14:paraId="6D3EC791" w14:textId="536D3CAB" w:rsidR="00D83043" w:rsidRPr="00581B43" w:rsidRDefault="00451123" w:rsidP="000B41DB">
            <w:pPr>
              <w:jc w:val="center"/>
              <w:rPr>
                <w:rFonts w:eastAsia="Times New Roman" w:cstheme="minorHAnsi"/>
                <w:color w:val="000000"/>
                <w:lang w:eastAsia="pt-BR"/>
              </w:rPr>
            </w:pPr>
            <w:r w:rsidRPr="00581B43">
              <w:rPr>
                <w:rFonts w:eastAsia="Times New Roman" w:cstheme="minorHAnsi"/>
                <w:color w:val="000000"/>
                <w:lang w:eastAsia="pt-BR"/>
              </w:rPr>
              <w:t>R$ 70 milhões</w:t>
            </w:r>
          </w:p>
        </w:tc>
        <w:tc>
          <w:tcPr>
            <w:tcW w:w="3821" w:type="dxa"/>
            <w:hideMark/>
          </w:tcPr>
          <w:p w14:paraId="619C88D8" w14:textId="77777777" w:rsidR="00D83043" w:rsidRPr="00581B43" w:rsidRDefault="009C1E6C" w:rsidP="00EE4593">
            <w:pPr>
              <w:jc w:val="center"/>
              <w:rPr>
                <w:rFonts w:eastAsia="Times New Roman" w:cstheme="minorHAnsi"/>
                <w:color w:val="000000"/>
                <w:lang w:eastAsia="pt-BR"/>
              </w:rPr>
            </w:pPr>
            <w:r w:rsidRPr="00581B43">
              <w:rPr>
                <w:rFonts w:eastAsia="Times New Roman" w:cstheme="minorHAnsi"/>
                <w:color w:val="000000"/>
                <w:lang w:eastAsia="pt-BR"/>
              </w:rPr>
              <w:t>Demonstrar à sociedade e ao poder judiciário a constitucionalidade da legislação do IPTU.</w:t>
            </w:r>
          </w:p>
        </w:tc>
      </w:tr>
      <w:tr w:rsidR="00D83043" w:rsidRPr="00B26B74" w14:paraId="7A15A383" w14:textId="77777777" w:rsidTr="003C3D56">
        <w:trPr>
          <w:trHeight w:val="1500"/>
        </w:trPr>
        <w:tc>
          <w:tcPr>
            <w:tcW w:w="3823" w:type="dxa"/>
            <w:hideMark/>
          </w:tcPr>
          <w:p w14:paraId="3F5C3D46" w14:textId="77777777" w:rsidR="009C1E6C" w:rsidRPr="00581B43" w:rsidRDefault="009C1E6C" w:rsidP="009C1E6C">
            <w:pPr>
              <w:jc w:val="both"/>
              <w:rPr>
                <w:rFonts w:eastAsia="Times New Roman" w:cstheme="minorHAnsi"/>
                <w:color w:val="000000"/>
                <w:lang w:eastAsia="pt-BR"/>
              </w:rPr>
            </w:pPr>
            <w:r w:rsidRPr="00581B43">
              <w:rPr>
                <w:rFonts w:eastAsia="Times New Roman" w:cstheme="minorHAnsi"/>
                <w:color w:val="000000"/>
                <w:lang w:eastAsia="pt-BR"/>
              </w:rPr>
              <w:t>Procedência da Ação Popular ajuizada por Thiago Chaves Gaspar Bretas Lage em que se pretende a declaração de nulidade da LC 214/16 e, alternativamente, a declaração de nulidade da exigência do IPTU residencial para o exercício de 2017.</w:t>
            </w:r>
          </w:p>
          <w:p w14:paraId="2A36CEF4" w14:textId="77777777" w:rsidR="00D83043" w:rsidRPr="00581B43" w:rsidRDefault="009C1E6C" w:rsidP="00125E02">
            <w:pPr>
              <w:jc w:val="center"/>
              <w:rPr>
                <w:rFonts w:eastAsia="Times New Roman" w:cstheme="minorHAnsi"/>
                <w:color w:val="000000"/>
                <w:lang w:eastAsia="pt-BR"/>
              </w:rPr>
            </w:pPr>
            <w:r w:rsidRPr="00581B43">
              <w:rPr>
                <w:rFonts w:eastAsia="Times New Roman" w:cstheme="minorHAnsi"/>
                <w:b/>
                <w:bCs/>
                <w:color w:val="000000"/>
                <w:lang w:eastAsia="pt-BR"/>
              </w:rPr>
              <w:t>Impacto negativo na arrecadação.</w:t>
            </w:r>
          </w:p>
        </w:tc>
        <w:tc>
          <w:tcPr>
            <w:tcW w:w="1291" w:type="dxa"/>
            <w:noWrap/>
            <w:hideMark/>
          </w:tcPr>
          <w:p w14:paraId="161F6F94" w14:textId="6A1EB24C" w:rsidR="00D83043" w:rsidRPr="00581B43" w:rsidRDefault="00D36E82" w:rsidP="000B41DB">
            <w:pPr>
              <w:jc w:val="center"/>
              <w:rPr>
                <w:rFonts w:eastAsia="Times New Roman" w:cstheme="minorHAnsi"/>
                <w:color w:val="000000"/>
                <w:lang w:eastAsia="pt-BR"/>
              </w:rPr>
            </w:pPr>
            <w:r w:rsidRPr="00581B43">
              <w:rPr>
                <w:rFonts w:eastAsia="Times New Roman" w:cstheme="minorHAnsi"/>
                <w:color w:val="000000"/>
                <w:lang w:eastAsia="pt-BR"/>
              </w:rPr>
              <w:t>R$ 70 milhões</w:t>
            </w:r>
          </w:p>
        </w:tc>
        <w:tc>
          <w:tcPr>
            <w:tcW w:w="3821" w:type="dxa"/>
            <w:hideMark/>
          </w:tcPr>
          <w:p w14:paraId="5BE792A0" w14:textId="77777777" w:rsidR="00D83043" w:rsidRPr="00581B43" w:rsidRDefault="009C1E6C" w:rsidP="00EE4593">
            <w:pPr>
              <w:jc w:val="center"/>
              <w:rPr>
                <w:rFonts w:eastAsia="Times New Roman" w:cstheme="minorHAnsi"/>
                <w:color w:val="000000"/>
                <w:lang w:eastAsia="pt-BR"/>
              </w:rPr>
            </w:pPr>
            <w:r w:rsidRPr="00581B43">
              <w:rPr>
                <w:rFonts w:eastAsia="Times New Roman" w:cstheme="minorHAnsi"/>
                <w:color w:val="000000"/>
                <w:lang w:eastAsia="pt-BR"/>
              </w:rPr>
              <w:t>Demonstrar à sociedade e ao poder judiciário a constitucionalidade da legislação do IPTU.</w:t>
            </w:r>
          </w:p>
        </w:tc>
      </w:tr>
      <w:tr w:rsidR="009C1E6C" w14:paraId="1C36856E" w14:textId="77777777" w:rsidTr="003C3D56">
        <w:tc>
          <w:tcPr>
            <w:tcW w:w="3823" w:type="dxa"/>
          </w:tcPr>
          <w:p w14:paraId="3A2E3CA4" w14:textId="77777777" w:rsidR="009C1E6C" w:rsidRPr="00581B43" w:rsidRDefault="009C1E6C" w:rsidP="009C1E6C">
            <w:pPr>
              <w:jc w:val="both"/>
              <w:rPr>
                <w:rFonts w:eastAsia="Times New Roman" w:cstheme="minorHAnsi"/>
                <w:color w:val="000000"/>
                <w:lang w:eastAsia="pt-BR"/>
              </w:rPr>
            </w:pPr>
            <w:r w:rsidRPr="00581B43">
              <w:rPr>
                <w:rFonts w:eastAsia="Times New Roman" w:cstheme="minorHAnsi"/>
                <w:color w:val="000000"/>
                <w:lang w:eastAsia="pt-BR"/>
              </w:rPr>
              <w:t>Procedência da Ação Popular ajuizada por Thiago Chaves Gaspar Bretas Lage em que se pretende a declaração de nulidade da LC 21</w:t>
            </w:r>
            <w:r w:rsidR="00ED7FC9" w:rsidRPr="00581B43">
              <w:rPr>
                <w:rFonts w:eastAsia="Times New Roman" w:cstheme="minorHAnsi"/>
                <w:color w:val="000000"/>
                <w:lang w:eastAsia="pt-BR"/>
              </w:rPr>
              <w:t>4/16.</w:t>
            </w:r>
          </w:p>
          <w:p w14:paraId="54D89024" w14:textId="77777777" w:rsidR="009C1E6C" w:rsidRPr="00581B43" w:rsidRDefault="009C1E6C" w:rsidP="009C1E6C">
            <w:pPr>
              <w:jc w:val="center"/>
              <w:rPr>
                <w:rFonts w:eastAsia="Times New Roman" w:cstheme="minorHAnsi"/>
                <w:color w:val="000000"/>
                <w:lang w:eastAsia="pt-BR"/>
              </w:rPr>
            </w:pPr>
            <w:r w:rsidRPr="00581B43">
              <w:rPr>
                <w:rFonts w:eastAsia="Times New Roman" w:cstheme="minorHAnsi"/>
                <w:b/>
                <w:bCs/>
                <w:color w:val="000000"/>
                <w:lang w:eastAsia="pt-BR"/>
              </w:rPr>
              <w:t>Impacto negativo na arrecadação.</w:t>
            </w:r>
          </w:p>
        </w:tc>
        <w:tc>
          <w:tcPr>
            <w:tcW w:w="1291" w:type="dxa"/>
          </w:tcPr>
          <w:p w14:paraId="60D4BFF9" w14:textId="570D8679" w:rsidR="009C1E6C" w:rsidRPr="00581B43" w:rsidRDefault="00D36E82" w:rsidP="000B41DB">
            <w:pPr>
              <w:jc w:val="center"/>
              <w:rPr>
                <w:rFonts w:eastAsia="Times New Roman" w:cstheme="minorHAnsi"/>
                <w:color w:val="000000"/>
                <w:lang w:eastAsia="pt-BR"/>
              </w:rPr>
            </w:pPr>
            <w:r w:rsidRPr="00581B43">
              <w:rPr>
                <w:rFonts w:eastAsia="Times New Roman" w:cstheme="minorHAnsi"/>
                <w:color w:val="000000"/>
                <w:lang w:eastAsia="pt-BR"/>
              </w:rPr>
              <w:t>R$ 70 milhões</w:t>
            </w:r>
          </w:p>
        </w:tc>
        <w:tc>
          <w:tcPr>
            <w:tcW w:w="3821" w:type="dxa"/>
          </w:tcPr>
          <w:p w14:paraId="66FAB90B" w14:textId="77777777" w:rsidR="009C1E6C" w:rsidRPr="00581B43" w:rsidRDefault="00ED7FC9" w:rsidP="00EE4593">
            <w:pPr>
              <w:jc w:val="center"/>
              <w:rPr>
                <w:rFonts w:eastAsia="Times New Roman" w:cstheme="minorHAnsi"/>
                <w:color w:val="000000"/>
                <w:lang w:eastAsia="pt-BR"/>
              </w:rPr>
            </w:pPr>
            <w:r w:rsidRPr="00581B43">
              <w:rPr>
                <w:rFonts w:eastAsia="Times New Roman" w:cstheme="minorHAnsi"/>
                <w:color w:val="000000"/>
                <w:lang w:eastAsia="pt-BR"/>
              </w:rPr>
              <w:t>Demonstrar à sociedade e ao poder judiciário a constitucionalidade da legislação do IPTU.</w:t>
            </w:r>
          </w:p>
        </w:tc>
      </w:tr>
      <w:tr w:rsidR="00ED7FC9" w14:paraId="40DE4FBC" w14:textId="77777777" w:rsidTr="003C3D56">
        <w:tc>
          <w:tcPr>
            <w:tcW w:w="3823" w:type="dxa"/>
          </w:tcPr>
          <w:p w14:paraId="05B4352E" w14:textId="77777777" w:rsidR="00ED7FC9" w:rsidRPr="00581B43" w:rsidRDefault="00ED7FC9" w:rsidP="00ED7FC9">
            <w:pPr>
              <w:jc w:val="both"/>
              <w:rPr>
                <w:rFonts w:eastAsia="Times New Roman" w:cstheme="minorHAnsi"/>
                <w:color w:val="000000"/>
                <w:lang w:eastAsia="pt-BR"/>
              </w:rPr>
            </w:pPr>
            <w:r w:rsidRPr="00581B43">
              <w:rPr>
                <w:rFonts w:eastAsia="Times New Roman" w:cstheme="minorHAnsi"/>
                <w:color w:val="000000"/>
                <w:lang w:eastAsia="pt-BR"/>
              </w:rPr>
              <w:t xml:space="preserve">Procedência da Ação </w:t>
            </w:r>
            <w:r w:rsidR="00716320" w:rsidRPr="00581B43">
              <w:rPr>
                <w:rFonts w:eastAsia="Times New Roman" w:cstheme="minorHAnsi"/>
                <w:color w:val="000000"/>
                <w:lang w:eastAsia="pt-BR"/>
              </w:rPr>
              <w:t xml:space="preserve">Declaratória de Inexistência de Relação Jurídica </w:t>
            </w:r>
            <w:r w:rsidRPr="00581B43">
              <w:rPr>
                <w:rFonts w:eastAsia="Times New Roman" w:cstheme="minorHAnsi"/>
                <w:color w:val="000000"/>
                <w:lang w:eastAsia="pt-BR"/>
              </w:rPr>
              <w:t xml:space="preserve">ajuizada pela CEMIG </w:t>
            </w:r>
            <w:r w:rsidR="00012417" w:rsidRPr="00581B43">
              <w:rPr>
                <w:rFonts w:eastAsia="Times New Roman" w:cstheme="minorHAnsi"/>
                <w:color w:val="000000"/>
                <w:lang w:eastAsia="pt-BR"/>
              </w:rPr>
              <w:t xml:space="preserve">Distribuição S/A </w:t>
            </w:r>
            <w:r w:rsidR="00716320" w:rsidRPr="00581B43">
              <w:rPr>
                <w:rFonts w:eastAsia="Times New Roman" w:cstheme="minorHAnsi"/>
                <w:color w:val="000000"/>
                <w:lang w:eastAsia="pt-BR"/>
              </w:rPr>
              <w:t xml:space="preserve">em que se questiona valores de IPTU de </w:t>
            </w:r>
            <w:r w:rsidR="00012417" w:rsidRPr="00581B43">
              <w:rPr>
                <w:rFonts w:eastAsia="Times New Roman" w:cstheme="minorHAnsi"/>
                <w:color w:val="000000"/>
                <w:lang w:eastAsia="pt-BR"/>
              </w:rPr>
              <w:t>0</w:t>
            </w:r>
            <w:r w:rsidR="00716320" w:rsidRPr="00581B43">
              <w:rPr>
                <w:rFonts w:eastAsia="Times New Roman" w:cstheme="minorHAnsi"/>
                <w:color w:val="000000"/>
                <w:lang w:eastAsia="pt-BR"/>
              </w:rPr>
              <w:t>3 índices cadastrais.</w:t>
            </w:r>
          </w:p>
          <w:p w14:paraId="227EFBB9" w14:textId="77777777" w:rsidR="00ED7FC9" w:rsidRPr="00581B43" w:rsidRDefault="00ED7FC9" w:rsidP="00ED7FC9">
            <w:pPr>
              <w:jc w:val="center"/>
              <w:rPr>
                <w:rFonts w:eastAsia="Times New Roman" w:cstheme="minorHAnsi"/>
                <w:b/>
                <w:color w:val="000000"/>
                <w:lang w:eastAsia="pt-BR"/>
              </w:rPr>
            </w:pPr>
            <w:r w:rsidRPr="00581B43">
              <w:rPr>
                <w:rFonts w:eastAsia="Times New Roman" w:cstheme="minorHAnsi"/>
                <w:b/>
                <w:color w:val="000000"/>
                <w:lang w:eastAsia="pt-BR"/>
              </w:rPr>
              <w:t>Impacto negativo na arrecadação.</w:t>
            </w:r>
          </w:p>
        </w:tc>
        <w:tc>
          <w:tcPr>
            <w:tcW w:w="1291" w:type="dxa"/>
          </w:tcPr>
          <w:p w14:paraId="65F9C3DC" w14:textId="77777777" w:rsidR="00A04D97" w:rsidRPr="00581B43" w:rsidRDefault="00A04D97" w:rsidP="000B41DB">
            <w:pPr>
              <w:jc w:val="center"/>
              <w:rPr>
                <w:rFonts w:eastAsia="Times New Roman" w:cstheme="minorHAnsi"/>
                <w:color w:val="000000"/>
                <w:lang w:eastAsia="pt-BR"/>
              </w:rPr>
            </w:pPr>
          </w:p>
          <w:p w14:paraId="25A8FE89" w14:textId="77777777" w:rsidR="00A04D97" w:rsidRPr="00581B43" w:rsidRDefault="00A04D97" w:rsidP="000B41DB">
            <w:pPr>
              <w:jc w:val="center"/>
              <w:rPr>
                <w:rFonts w:eastAsia="Times New Roman" w:cstheme="minorHAnsi"/>
                <w:color w:val="000000"/>
                <w:lang w:eastAsia="pt-BR"/>
              </w:rPr>
            </w:pPr>
            <w:r w:rsidRPr="00581B43">
              <w:rPr>
                <w:rFonts w:eastAsia="Times New Roman" w:cstheme="minorHAnsi"/>
                <w:color w:val="000000"/>
                <w:lang w:eastAsia="pt-BR"/>
              </w:rPr>
              <w:t>R$26.399.599,40</w:t>
            </w:r>
          </w:p>
          <w:p w14:paraId="3AE56193" w14:textId="77777777" w:rsidR="00A04D97" w:rsidRPr="00581B43" w:rsidRDefault="00A04D97" w:rsidP="000B41DB">
            <w:pPr>
              <w:jc w:val="center"/>
              <w:rPr>
                <w:rFonts w:eastAsia="Times New Roman" w:cstheme="minorHAnsi"/>
                <w:color w:val="000000"/>
                <w:highlight w:val="yellow"/>
                <w:lang w:eastAsia="pt-BR"/>
              </w:rPr>
            </w:pPr>
            <w:r w:rsidRPr="00581B43">
              <w:rPr>
                <w:rFonts w:eastAsia="Times New Roman" w:cstheme="minorHAnsi"/>
                <w:color w:val="000000"/>
                <w:lang w:eastAsia="pt-BR"/>
              </w:rPr>
              <w:t>(</w:t>
            </w:r>
            <w:proofErr w:type="gramStart"/>
            <w:r w:rsidRPr="00581B43">
              <w:rPr>
                <w:rFonts w:eastAsia="Times New Roman" w:cstheme="minorHAnsi"/>
                <w:color w:val="000000"/>
                <w:lang w:eastAsia="pt-BR"/>
              </w:rPr>
              <w:t>valor</w:t>
            </w:r>
            <w:proofErr w:type="gramEnd"/>
            <w:r w:rsidRPr="00581B43">
              <w:rPr>
                <w:rFonts w:eastAsia="Times New Roman" w:cstheme="minorHAnsi"/>
                <w:color w:val="000000"/>
                <w:lang w:eastAsia="pt-BR"/>
              </w:rPr>
              <w:t xml:space="preserve"> relativo ao IPTU de 2012 a 2018)</w:t>
            </w:r>
          </w:p>
        </w:tc>
        <w:tc>
          <w:tcPr>
            <w:tcW w:w="3821" w:type="dxa"/>
          </w:tcPr>
          <w:p w14:paraId="1476C5F7" w14:textId="77777777" w:rsidR="00ED7FC9" w:rsidRPr="00581B43" w:rsidRDefault="00ED7FC9" w:rsidP="00A04D97">
            <w:pPr>
              <w:jc w:val="center"/>
              <w:rPr>
                <w:rFonts w:eastAsia="Times New Roman" w:cstheme="minorHAnsi"/>
                <w:color w:val="000000"/>
                <w:lang w:eastAsia="pt-BR"/>
              </w:rPr>
            </w:pPr>
            <w:r w:rsidRPr="00581B43">
              <w:rPr>
                <w:rFonts w:eastAsia="Times New Roman" w:cstheme="minorHAnsi"/>
                <w:color w:val="000000"/>
                <w:lang w:eastAsia="pt-BR"/>
              </w:rPr>
              <w:t xml:space="preserve">Demonstrar ao poder judiciário a </w:t>
            </w:r>
            <w:r w:rsidR="00A04D97" w:rsidRPr="00581B43">
              <w:rPr>
                <w:rFonts w:eastAsia="Times New Roman" w:cstheme="minorHAnsi"/>
                <w:color w:val="000000"/>
                <w:lang w:eastAsia="pt-BR"/>
              </w:rPr>
              <w:t>existência de relação jurídica e a legalidade da cobrança do IPTU</w:t>
            </w:r>
            <w:r w:rsidRPr="00581B43">
              <w:rPr>
                <w:rFonts w:eastAsia="Times New Roman" w:cstheme="minorHAnsi"/>
                <w:color w:val="000000"/>
                <w:lang w:eastAsia="pt-BR"/>
              </w:rPr>
              <w:t>.</w:t>
            </w:r>
          </w:p>
        </w:tc>
      </w:tr>
      <w:tr w:rsidR="00A67B6B" w14:paraId="53FBAE73" w14:textId="77777777" w:rsidTr="003C3D56">
        <w:tc>
          <w:tcPr>
            <w:tcW w:w="3823" w:type="dxa"/>
          </w:tcPr>
          <w:p w14:paraId="0E003AA6" w14:textId="40A78955" w:rsidR="00A67B6B" w:rsidRPr="00581B43" w:rsidRDefault="00A67B6B" w:rsidP="009C1E6C">
            <w:pPr>
              <w:jc w:val="both"/>
            </w:pPr>
            <w:r w:rsidRPr="00581B43">
              <w:t>Aprovação do programa de estimulo à atividade econômica e ao adequado ordenamento da cidade e de seu crescimento sustentável.</w:t>
            </w:r>
          </w:p>
          <w:p w14:paraId="484F7F9D" w14:textId="39D69AB1" w:rsidR="000B41DB" w:rsidRPr="00581B43" w:rsidRDefault="000B41DB" w:rsidP="000B41DB">
            <w:pPr>
              <w:jc w:val="center"/>
              <w:rPr>
                <w:rFonts w:eastAsia="Times New Roman" w:cstheme="minorHAnsi"/>
                <w:color w:val="000000"/>
                <w:lang w:eastAsia="pt-BR"/>
              </w:rPr>
            </w:pPr>
            <w:r w:rsidRPr="00581B43">
              <w:rPr>
                <w:rFonts w:eastAsia="Times New Roman" w:cstheme="minorHAnsi"/>
                <w:b/>
                <w:color w:val="000000"/>
                <w:lang w:eastAsia="pt-BR"/>
              </w:rPr>
              <w:t>Impacto negativo na arrecadação.</w:t>
            </w:r>
          </w:p>
        </w:tc>
        <w:tc>
          <w:tcPr>
            <w:tcW w:w="1291" w:type="dxa"/>
          </w:tcPr>
          <w:p w14:paraId="2CDF80A7" w14:textId="63DB6F00" w:rsidR="00A67B6B" w:rsidRPr="00581B43" w:rsidRDefault="000B41DB" w:rsidP="000B41DB">
            <w:pPr>
              <w:jc w:val="center"/>
              <w:rPr>
                <w:rFonts w:eastAsia="Times New Roman" w:cstheme="minorHAnsi"/>
                <w:lang w:eastAsia="pt-BR"/>
              </w:rPr>
            </w:pPr>
            <w:r w:rsidRPr="00581B43">
              <w:rPr>
                <w:rFonts w:eastAsia="Times New Roman" w:cstheme="minorHAnsi"/>
                <w:lang w:eastAsia="pt-BR"/>
              </w:rPr>
              <w:t xml:space="preserve">R$ </w:t>
            </w:r>
            <w:r w:rsidR="0055639E" w:rsidRPr="00581B43">
              <w:rPr>
                <w:rFonts w:eastAsia="Times New Roman" w:cstheme="minorHAnsi"/>
                <w:lang w:eastAsia="pt-BR"/>
              </w:rPr>
              <w:t>10 milhões</w:t>
            </w:r>
          </w:p>
        </w:tc>
        <w:tc>
          <w:tcPr>
            <w:tcW w:w="3821" w:type="dxa"/>
          </w:tcPr>
          <w:p w14:paraId="15575F9C" w14:textId="2F94EB3A" w:rsidR="00A67B6B" w:rsidRPr="00581B43" w:rsidRDefault="000B41DB" w:rsidP="00EE4593">
            <w:pPr>
              <w:jc w:val="center"/>
              <w:rPr>
                <w:rFonts w:eastAsia="Times New Roman" w:cstheme="minorHAnsi"/>
                <w:color w:val="000000"/>
                <w:lang w:eastAsia="pt-BR"/>
              </w:rPr>
            </w:pPr>
            <w:r w:rsidRPr="00581B43">
              <w:t>Propor ao legislativo a aprovação de lei de estimula ao cumprimento da função social da propriedade. Ainda que a proposta de concessão do benefício constitua perda de receita, tal perda é compensada pelo aumento de receita do próprio programa, como também pelas medidas antes indicadas.</w:t>
            </w:r>
          </w:p>
        </w:tc>
      </w:tr>
      <w:tr w:rsidR="006333FB" w14:paraId="192DD7C1" w14:textId="77777777" w:rsidTr="003C3D56">
        <w:tc>
          <w:tcPr>
            <w:tcW w:w="3823" w:type="dxa"/>
          </w:tcPr>
          <w:p w14:paraId="66DCA1A3" w14:textId="77777777" w:rsidR="009C1E6C" w:rsidRPr="00581B43" w:rsidRDefault="006333FB" w:rsidP="009C1E6C">
            <w:pPr>
              <w:jc w:val="both"/>
              <w:rPr>
                <w:rFonts w:eastAsia="Times New Roman" w:cstheme="minorHAnsi"/>
                <w:color w:val="000000"/>
                <w:lang w:eastAsia="pt-BR"/>
              </w:rPr>
            </w:pPr>
            <w:r w:rsidRPr="00581B43">
              <w:rPr>
                <w:rFonts w:eastAsia="Times New Roman" w:cstheme="minorHAnsi"/>
                <w:color w:val="000000"/>
                <w:lang w:eastAsia="pt-BR"/>
              </w:rPr>
              <w:t xml:space="preserve">Perspectiva com as adequações legislativas relativas ao IPTU e TCRS e </w:t>
            </w:r>
            <w:r w:rsidRPr="00581B43">
              <w:rPr>
                <w:rFonts w:eastAsia="Times New Roman" w:cstheme="minorHAnsi"/>
                <w:color w:val="000000"/>
                <w:lang w:eastAsia="pt-BR"/>
              </w:rPr>
              <w:lastRenderedPageBreak/>
              <w:t xml:space="preserve">com a revisão da planta genérica de valores. </w:t>
            </w:r>
          </w:p>
          <w:p w14:paraId="43E47151" w14:textId="77777777" w:rsidR="006333FB" w:rsidRPr="00581B43" w:rsidRDefault="006333FB" w:rsidP="009C1E6C">
            <w:pPr>
              <w:jc w:val="center"/>
              <w:rPr>
                <w:rFonts w:cstheme="minorHAnsi"/>
              </w:rPr>
            </w:pPr>
            <w:r w:rsidRPr="00581B43">
              <w:rPr>
                <w:rFonts w:eastAsia="Times New Roman" w:cstheme="minorHAnsi"/>
                <w:b/>
                <w:bCs/>
                <w:color w:val="000000"/>
                <w:lang w:eastAsia="pt-BR"/>
              </w:rPr>
              <w:t>Impacto positivo na arrecadação.</w:t>
            </w:r>
          </w:p>
        </w:tc>
        <w:tc>
          <w:tcPr>
            <w:tcW w:w="1291" w:type="dxa"/>
          </w:tcPr>
          <w:p w14:paraId="6198FA63" w14:textId="2BD64ECD" w:rsidR="006333FB" w:rsidRPr="00581B43" w:rsidRDefault="006333FB" w:rsidP="000B41DB">
            <w:pPr>
              <w:jc w:val="center"/>
              <w:rPr>
                <w:rFonts w:cstheme="minorHAnsi"/>
              </w:rPr>
            </w:pPr>
            <w:r w:rsidRPr="00581B43">
              <w:rPr>
                <w:rFonts w:eastAsia="Times New Roman" w:cstheme="minorHAnsi"/>
                <w:color w:val="000000"/>
                <w:lang w:eastAsia="pt-BR"/>
              </w:rPr>
              <w:lastRenderedPageBreak/>
              <w:t xml:space="preserve">R$ </w:t>
            </w:r>
            <w:r w:rsidR="003C1594" w:rsidRPr="00581B43">
              <w:rPr>
                <w:rFonts w:eastAsia="Times New Roman" w:cstheme="minorHAnsi"/>
                <w:color w:val="000000"/>
                <w:lang w:eastAsia="pt-BR"/>
              </w:rPr>
              <w:t>20 milhões</w:t>
            </w:r>
          </w:p>
        </w:tc>
        <w:tc>
          <w:tcPr>
            <w:tcW w:w="3821" w:type="dxa"/>
          </w:tcPr>
          <w:p w14:paraId="446D3848" w14:textId="77777777" w:rsidR="006333FB" w:rsidRPr="00581B43" w:rsidRDefault="006333FB" w:rsidP="00EE4593">
            <w:pPr>
              <w:jc w:val="center"/>
              <w:rPr>
                <w:rFonts w:cstheme="minorHAnsi"/>
              </w:rPr>
            </w:pPr>
            <w:r w:rsidRPr="00581B43">
              <w:rPr>
                <w:rFonts w:eastAsia="Times New Roman" w:cstheme="minorHAnsi"/>
                <w:color w:val="000000"/>
                <w:lang w:eastAsia="pt-BR"/>
              </w:rPr>
              <w:t>Realizar os procedimentos legais para a cobrança do IPTU e da TCRS.</w:t>
            </w:r>
          </w:p>
        </w:tc>
      </w:tr>
      <w:tr w:rsidR="006333FB" w14:paraId="3AA85B80" w14:textId="77777777" w:rsidTr="003C3D56">
        <w:tc>
          <w:tcPr>
            <w:tcW w:w="3823" w:type="dxa"/>
          </w:tcPr>
          <w:p w14:paraId="70B3A5AB" w14:textId="77777777" w:rsidR="009C1E6C" w:rsidRPr="00581B43" w:rsidRDefault="006333FB" w:rsidP="009C1E6C">
            <w:pPr>
              <w:jc w:val="both"/>
              <w:rPr>
                <w:rFonts w:eastAsia="Times New Roman" w:cstheme="minorHAnsi"/>
                <w:color w:val="000000"/>
                <w:lang w:eastAsia="pt-BR"/>
              </w:rPr>
            </w:pPr>
            <w:r w:rsidRPr="00581B43">
              <w:rPr>
                <w:rFonts w:eastAsia="Times New Roman" w:cstheme="minorHAnsi"/>
                <w:color w:val="000000"/>
                <w:lang w:eastAsia="pt-BR"/>
              </w:rPr>
              <w:t>Incremento da arrecadação do ISSQN por intermédio da fiscalização remota e pelo cruzamento de informações.</w:t>
            </w:r>
          </w:p>
          <w:p w14:paraId="41DB5CCB" w14:textId="77777777" w:rsidR="006333FB" w:rsidRPr="00581B43" w:rsidRDefault="006333FB" w:rsidP="009C1E6C">
            <w:pPr>
              <w:jc w:val="center"/>
              <w:rPr>
                <w:rFonts w:cstheme="minorHAnsi"/>
              </w:rPr>
            </w:pPr>
            <w:r w:rsidRPr="00581B43">
              <w:rPr>
                <w:rFonts w:eastAsia="Times New Roman" w:cstheme="minorHAnsi"/>
                <w:b/>
                <w:bCs/>
                <w:color w:val="000000"/>
                <w:lang w:eastAsia="pt-BR"/>
              </w:rPr>
              <w:t>Impacto positivo na arrecadação.</w:t>
            </w:r>
          </w:p>
        </w:tc>
        <w:tc>
          <w:tcPr>
            <w:tcW w:w="1291" w:type="dxa"/>
          </w:tcPr>
          <w:p w14:paraId="1290AF2B" w14:textId="0D5A7A4A" w:rsidR="006333FB" w:rsidRPr="00581B43" w:rsidRDefault="006333FB" w:rsidP="000B41DB">
            <w:pPr>
              <w:jc w:val="center"/>
              <w:rPr>
                <w:rFonts w:cstheme="minorHAnsi"/>
              </w:rPr>
            </w:pPr>
            <w:r w:rsidRPr="00581B43">
              <w:rPr>
                <w:rFonts w:eastAsia="Times New Roman" w:cstheme="minorHAnsi"/>
                <w:color w:val="000000"/>
                <w:lang w:eastAsia="pt-BR"/>
              </w:rPr>
              <w:t xml:space="preserve">R$ </w:t>
            </w:r>
            <w:r w:rsidR="003C1594" w:rsidRPr="00581B43">
              <w:rPr>
                <w:rFonts w:eastAsia="Times New Roman" w:cstheme="minorHAnsi"/>
                <w:color w:val="000000"/>
                <w:lang w:eastAsia="pt-BR"/>
              </w:rPr>
              <w:t>25 milhões</w:t>
            </w:r>
          </w:p>
        </w:tc>
        <w:tc>
          <w:tcPr>
            <w:tcW w:w="3821" w:type="dxa"/>
          </w:tcPr>
          <w:p w14:paraId="465BA1DE" w14:textId="77777777" w:rsidR="006333FB" w:rsidRPr="00581B43" w:rsidRDefault="006333FB" w:rsidP="00EE4593">
            <w:pPr>
              <w:jc w:val="center"/>
              <w:rPr>
                <w:rFonts w:cstheme="minorHAnsi"/>
              </w:rPr>
            </w:pPr>
            <w:r w:rsidRPr="00581B43">
              <w:rPr>
                <w:rFonts w:eastAsia="Times New Roman" w:cstheme="minorHAnsi"/>
                <w:color w:val="000000"/>
                <w:lang w:eastAsia="pt-BR"/>
              </w:rPr>
              <w:t>Realizar os procedimentos legais para compra da ferramenta de sistema.</w:t>
            </w:r>
          </w:p>
        </w:tc>
      </w:tr>
    </w:tbl>
    <w:p w14:paraId="5023141B" w14:textId="7F76551A" w:rsidR="00D83043" w:rsidRDefault="00883E29" w:rsidP="00125E02">
      <w:pPr>
        <w:spacing w:after="0" w:line="240" w:lineRule="auto"/>
        <w:rPr>
          <w:rFonts w:cstheme="minorHAnsi"/>
          <w:sz w:val="20"/>
          <w:szCs w:val="20"/>
        </w:rPr>
      </w:pPr>
      <w:r w:rsidRPr="00883E29">
        <w:rPr>
          <w:rFonts w:cstheme="minorHAnsi"/>
          <w:sz w:val="20"/>
          <w:szCs w:val="20"/>
        </w:rPr>
        <w:t>FONTE: Secretaria Municipal de Fazenda – 23/04/2018.</w:t>
      </w:r>
    </w:p>
    <w:p w14:paraId="6A60ECBF" w14:textId="23674616" w:rsidR="00C57AB8" w:rsidRDefault="00C57AB8" w:rsidP="00125E02">
      <w:pPr>
        <w:spacing w:after="0" w:line="240" w:lineRule="auto"/>
        <w:rPr>
          <w:rFonts w:cstheme="minorHAnsi"/>
          <w:sz w:val="20"/>
          <w:szCs w:val="20"/>
        </w:rPr>
      </w:pPr>
    </w:p>
    <w:p w14:paraId="4BF886A5" w14:textId="18523AD1" w:rsidR="00C57AB8" w:rsidRDefault="00C57AB8" w:rsidP="00125E02">
      <w:pPr>
        <w:spacing w:after="0" w:line="240" w:lineRule="auto"/>
        <w:rPr>
          <w:rFonts w:cstheme="minorHAnsi"/>
          <w:sz w:val="20"/>
          <w:szCs w:val="20"/>
        </w:rPr>
      </w:pPr>
    </w:p>
    <w:p w14:paraId="159E6314" w14:textId="77777777" w:rsidR="00C57AB8" w:rsidRPr="00FA5040" w:rsidRDefault="00C57AB8" w:rsidP="00C57AB8">
      <w:pPr>
        <w:pStyle w:val="Padro"/>
        <w:pageBreakBefore/>
        <w:spacing w:after="0" w:line="100" w:lineRule="atLeast"/>
        <w:jc w:val="center"/>
        <w:rPr>
          <w:rFonts w:asciiTheme="minorHAnsi" w:hAnsiTheme="minorHAnsi"/>
        </w:rPr>
      </w:pPr>
      <w:r w:rsidRPr="00FA5040">
        <w:rPr>
          <w:rFonts w:asciiTheme="minorHAnsi" w:hAnsiTheme="minorHAnsi" w:cs="Times New Roman"/>
        </w:rPr>
        <w:lastRenderedPageBreak/>
        <w:t>MUNICÍPIO DE CONTAGEM - MG</w:t>
      </w:r>
    </w:p>
    <w:p w14:paraId="784BA1A5" w14:textId="77777777" w:rsidR="00C57AB8" w:rsidRPr="00FA5040" w:rsidRDefault="00C57AB8" w:rsidP="00C57AB8">
      <w:pPr>
        <w:pStyle w:val="Padro"/>
        <w:spacing w:after="0" w:line="100" w:lineRule="atLeast"/>
        <w:jc w:val="center"/>
        <w:rPr>
          <w:rFonts w:asciiTheme="minorHAnsi" w:hAnsiTheme="minorHAnsi"/>
        </w:rPr>
      </w:pPr>
      <w:r w:rsidRPr="00FA5040">
        <w:rPr>
          <w:rFonts w:asciiTheme="minorHAnsi" w:hAnsiTheme="minorHAnsi" w:cs="Times New Roman"/>
        </w:rPr>
        <w:t>LEI DE DIRETRIZES ORÇAMENTÁRIAS</w:t>
      </w:r>
    </w:p>
    <w:p w14:paraId="08853DAB" w14:textId="77777777" w:rsidR="00C57AB8" w:rsidRPr="00FA5040" w:rsidRDefault="00C57AB8" w:rsidP="00C57AB8">
      <w:pPr>
        <w:pStyle w:val="Padro"/>
        <w:tabs>
          <w:tab w:val="left" w:pos="1232"/>
        </w:tabs>
        <w:spacing w:after="0" w:line="100" w:lineRule="atLeast"/>
        <w:jc w:val="center"/>
        <w:rPr>
          <w:rFonts w:asciiTheme="minorHAnsi" w:hAnsiTheme="minorHAnsi"/>
        </w:rPr>
      </w:pPr>
      <w:r w:rsidRPr="00FA5040">
        <w:rPr>
          <w:rFonts w:asciiTheme="minorHAnsi" w:hAnsiTheme="minorHAnsi" w:cs="Times New Roman"/>
        </w:rPr>
        <w:t>ANEXO DE RISCOS FISCAIS</w:t>
      </w:r>
    </w:p>
    <w:p w14:paraId="7A9B6D02" w14:textId="77777777" w:rsidR="00C57AB8" w:rsidRPr="00FA5040" w:rsidRDefault="00C57AB8" w:rsidP="00C57AB8">
      <w:pPr>
        <w:pStyle w:val="Padro"/>
        <w:tabs>
          <w:tab w:val="left" w:pos="1232"/>
        </w:tabs>
        <w:spacing w:after="0" w:line="100" w:lineRule="atLeast"/>
        <w:jc w:val="center"/>
        <w:rPr>
          <w:rFonts w:asciiTheme="minorHAnsi" w:hAnsiTheme="minorHAnsi"/>
        </w:rPr>
      </w:pPr>
      <w:r w:rsidRPr="00FA5040">
        <w:rPr>
          <w:rFonts w:asciiTheme="minorHAnsi" w:hAnsiTheme="minorHAnsi" w:cs="Times New Roman"/>
          <w:b/>
        </w:rPr>
        <w:t>DEMONSTRATIVO DE RISCOS FISCAIS E PROVIDÊNCIAS</w:t>
      </w:r>
    </w:p>
    <w:p w14:paraId="37B1E628" w14:textId="7637783E" w:rsidR="00C57AB8" w:rsidRDefault="00C57AB8" w:rsidP="00C57AB8">
      <w:pPr>
        <w:pStyle w:val="Padro"/>
        <w:tabs>
          <w:tab w:val="left" w:pos="1232"/>
        </w:tabs>
        <w:spacing w:after="0" w:line="100" w:lineRule="atLeast"/>
        <w:jc w:val="center"/>
        <w:rPr>
          <w:rFonts w:asciiTheme="minorHAnsi" w:hAnsiTheme="minorHAnsi" w:cs="Times New Roman"/>
          <w:lang w:val="en-US"/>
        </w:rPr>
      </w:pPr>
      <w:r w:rsidRPr="00FA5040">
        <w:rPr>
          <w:rFonts w:asciiTheme="minorHAnsi" w:hAnsiTheme="minorHAnsi" w:cs="Times New Roman"/>
          <w:lang w:val="en-US"/>
        </w:rPr>
        <w:t>201</w:t>
      </w:r>
      <w:r>
        <w:rPr>
          <w:rFonts w:asciiTheme="minorHAnsi" w:hAnsiTheme="minorHAnsi" w:cs="Times New Roman"/>
          <w:lang w:val="en-US"/>
        </w:rPr>
        <w:t>9</w:t>
      </w:r>
    </w:p>
    <w:p w14:paraId="490CE02E" w14:textId="0E010FB8" w:rsidR="00C57AB8" w:rsidRDefault="00C57AB8" w:rsidP="00C57AB8">
      <w:pPr>
        <w:pStyle w:val="Padro"/>
        <w:tabs>
          <w:tab w:val="left" w:pos="1232"/>
        </w:tabs>
        <w:spacing w:after="0" w:line="100" w:lineRule="atLeast"/>
        <w:jc w:val="center"/>
        <w:rPr>
          <w:rFonts w:asciiTheme="minorHAnsi" w:hAnsiTheme="minorHAnsi" w:cs="Times New Roman"/>
          <w:lang w:val="en-US"/>
        </w:rPr>
      </w:pPr>
    </w:p>
    <w:p w14:paraId="6A00BC3A" w14:textId="67875291" w:rsidR="00C57AB8" w:rsidRDefault="00C57AB8" w:rsidP="00424D97">
      <w:pPr>
        <w:spacing w:after="0" w:line="240" w:lineRule="auto"/>
        <w:rPr>
          <w:rFonts w:eastAsia="Times New Roman" w:cstheme="minorHAnsi"/>
          <w:color w:val="000000"/>
          <w:sz w:val="24"/>
          <w:szCs w:val="24"/>
          <w:lang w:eastAsia="pt-BR"/>
        </w:rPr>
      </w:pPr>
      <w:r w:rsidRPr="00B26B74">
        <w:rPr>
          <w:rFonts w:eastAsia="Times New Roman" w:cstheme="minorHAnsi"/>
          <w:color w:val="000000"/>
          <w:sz w:val="24"/>
          <w:szCs w:val="24"/>
          <w:lang w:eastAsia="pt-BR"/>
        </w:rPr>
        <w:t xml:space="preserve">Tabela </w:t>
      </w:r>
      <w:r>
        <w:rPr>
          <w:rFonts w:eastAsia="Times New Roman" w:cstheme="minorHAnsi"/>
          <w:color w:val="000000"/>
          <w:sz w:val="24"/>
          <w:szCs w:val="24"/>
          <w:lang w:eastAsia="pt-BR"/>
        </w:rPr>
        <w:t xml:space="preserve">2 – </w:t>
      </w:r>
      <w:r w:rsidRPr="00B26B74">
        <w:rPr>
          <w:rFonts w:eastAsia="Times New Roman" w:cstheme="minorHAnsi"/>
          <w:color w:val="000000"/>
          <w:sz w:val="24"/>
          <w:szCs w:val="24"/>
          <w:lang w:eastAsia="pt-BR"/>
        </w:rPr>
        <w:t xml:space="preserve">Demonstrativo dos Riscos decorrentes </w:t>
      </w:r>
      <w:r w:rsidR="00424D97">
        <w:rPr>
          <w:rFonts w:eastAsia="Times New Roman" w:cstheme="minorHAnsi"/>
          <w:color w:val="000000"/>
          <w:sz w:val="24"/>
          <w:szCs w:val="24"/>
          <w:lang w:eastAsia="pt-BR"/>
        </w:rPr>
        <w:t>de Demandas Judiciais</w:t>
      </w:r>
    </w:p>
    <w:p w14:paraId="3ED74CE5" w14:textId="77777777" w:rsidR="00C57AB8" w:rsidRPr="00FA5040" w:rsidRDefault="00C57AB8" w:rsidP="00C57AB8">
      <w:pPr>
        <w:pStyle w:val="Padro"/>
        <w:tabs>
          <w:tab w:val="left" w:pos="1232"/>
        </w:tabs>
        <w:spacing w:after="0" w:line="100" w:lineRule="atLeast"/>
        <w:rPr>
          <w:rFonts w:asciiTheme="minorHAnsi" w:hAnsiTheme="minorHAnsi" w:cs="Times New Roman"/>
        </w:rPr>
      </w:pPr>
      <w:r w:rsidRPr="00FA5040">
        <w:rPr>
          <w:rFonts w:asciiTheme="minorHAnsi" w:hAnsiTheme="minorHAnsi" w:cs="Times New Roman"/>
          <w:sz w:val="16"/>
          <w:szCs w:val="16"/>
        </w:rPr>
        <w:t>ARF (LRF, art. 4º, § 3º)</w:t>
      </w:r>
      <w:r w:rsidRPr="00FA5040">
        <w:rPr>
          <w:rFonts w:asciiTheme="minorHAnsi" w:hAnsiTheme="minorHAnsi" w:cs="Times New Roman"/>
          <w:sz w:val="16"/>
          <w:szCs w:val="16"/>
        </w:rPr>
        <w:tab/>
      </w:r>
      <w:r w:rsidRPr="00FA5040">
        <w:rPr>
          <w:rFonts w:asciiTheme="minorHAnsi" w:hAnsiTheme="minorHAnsi" w:cs="Times New Roman"/>
          <w:sz w:val="16"/>
          <w:szCs w:val="16"/>
        </w:rPr>
        <w:tab/>
      </w:r>
      <w:r w:rsidRPr="00FA5040">
        <w:rPr>
          <w:rFonts w:asciiTheme="minorHAnsi" w:hAnsiTheme="minorHAnsi" w:cs="Times New Roman"/>
          <w:sz w:val="16"/>
          <w:szCs w:val="16"/>
        </w:rPr>
        <w:tab/>
      </w:r>
      <w:r w:rsidRPr="00FA5040">
        <w:rPr>
          <w:rFonts w:asciiTheme="minorHAnsi" w:hAnsiTheme="minorHAnsi" w:cs="Times New Roman"/>
          <w:sz w:val="16"/>
          <w:szCs w:val="16"/>
        </w:rPr>
        <w:tab/>
      </w:r>
      <w:r w:rsidRPr="00FA5040">
        <w:rPr>
          <w:rFonts w:asciiTheme="minorHAnsi" w:hAnsiTheme="minorHAnsi" w:cs="Times New Roman"/>
          <w:sz w:val="16"/>
          <w:szCs w:val="16"/>
        </w:rPr>
        <w:tab/>
      </w:r>
      <w:r w:rsidRPr="00FA5040">
        <w:rPr>
          <w:rFonts w:asciiTheme="minorHAnsi" w:hAnsiTheme="minorHAnsi" w:cs="Times New Roman"/>
          <w:sz w:val="16"/>
          <w:szCs w:val="16"/>
        </w:rPr>
        <w:tab/>
      </w:r>
      <w:r w:rsidRPr="00FA5040">
        <w:rPr>
          <w:rFonts w:asciiTheme="minorHAnsi" w:hAnsiTheme="minorHAnsi" w:cs="Times New Roman"/>
          <w:sz w:val="16"/>
          <w:szCs w:val="16"/>
        </w:rPr>
        <w:tab/>
      </w:r>
      <w:r w:rsidRPr="00FA5040">
        <w:rPr>
          <w:rFonts w:asciiTheme="minorHAnsi" w:hAnsiTheme="minorHAnsi" w:cs="Times New Roman"/>
          <w:sz w:val="16"/>
          <w:szCs w:val="16"/>
        </w:rPr>
        <w:tab/>
      </w:r>
      <w:r w:rsidRPr="00FA5040">
        <w:rPr>
          <w:rFonts w:asciiTheme="minorHAnsi" w:hAnsiTheme="minorHAnsi" w:cs="Times New Roman"/>
          <w:sz w:val="16"/>
          <w:szCs w:val="16"/>
        </w:rPr>
        <w:tab/>
      </w:r>
      <w:r w:rsidRPr="00FA5040">
        <w:rPr>
          <w:rFonts w:asciiTheme="minorHAnsi" w:hAnsiTheme="minorHAnsi" w:cs="Times New Roman"/>
          <w:sz w:val="16"/>
          <w:szCs w:val="16"/>
        </w:rPr>
        <w:tab/>
        <w:t>R$1,00</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89"/>
        <w:gridCol w:w="1701"/>
        <w:gridCol w:w="1984"/>
        <w:gridCol w:w="1560"/>
      </w:tblGrid>
      <w:tr w:rsidR="00C57AB8" w:rsidRPr="00FA5040" w14:paraId="4B4EEE84" w14:textId="77777777" w:rsidTr="008F2B37">
        <w:trPr>
          <w:cantSplit/>
          <w:trHeight w:hRule="exact" w:val="340"/>
        </w:trPr>
        <w:tc>
          <w:tcPr>
            <w:tcW w:w="5490" w:type="dxa"/>
            <w:gridSpan w:val="2"/>
            <w:shd w:val="clear" w:color="auto" w:fill="auto"/>
            <w:tcMar>
              <w:top w:w="0" w:type="dxa"/>
              <w:left w:w="108" w:type="dxa"/>
              <w:bottom w:w="0" w:type="dxa"/>
              <w:right w:w="108" w:type="dxa"/>
            </w:tcMar>
          </w:tcPr>
          <w:p w14:paraId="64ADC827" w14:textId="77777777" w:rsidR="00C57AB8" w:rsidRPr="00FA5040" w:rsidRDefault="00C57AB8" w:rsidP="008F2B37">
            <w:pPr>
              <w:pStyle w:val="Padro"/>
              <w:tabs>
                <w:tab w:val="left" w:pos="6750"/>
              </w:tabs>
              <w:jc w:val="center"/>
              <w:rPr>
                <w:rFonts w:asciiTheme="minorHAnsi" w:hAnsiTheme="minorHAnsi" w:cs="Times New Roman"/>
              </w:rPr>
            </w:pPr>
            <w:r w:rsidRPr="00FA5040">
              <w:rPr>
                <w:rFonts w:asciiTheme="minorHAnsi" w:hAnsiTheme="minorHAnsi" w:cs="Times New Roman"/>
              </w:rPr>
              <w:t>RISCOS FISCAIS</w:t>
            </w:r>
          </w:p>
        </w:tc>
        <w:tc>
          <w:tcPr>
            <w:tcW w:w="3544" w:type="dxa"/>
            <w:gridSpan w:val="2"/>
            <w:shd w:val="clear" w:color="auto" w:fill="auto"/>
            <w:tcMar>
              <w:top w:w="0" w:type="dxa"/>
              <w:left w:w="108" w:type="dxa"/>
              <w:bottom w:w="0" w:type="dxa"/>
              <w:right w:w="108" w:type="dxa"/>
            </w:tcMar>
          </w:tcPr>
          <w:p w14:paraId="79E46DA3" w14:textId="77777777" w:rsidR="00C57AB8" w:rsidRPr="00FA5040" w:rsidRDefault="00C57AB8" w:rsidP="008F2B37">
            <w:pPr>
              <w:pStyle w:val="Padro"/>
              <w:tabs>
                <w:tab w:val="left" w:pos="6750"/>
              </w:tabs>
              <w:jc w:val="center"/>
              <w:rPr>
                <w:rFonts w:asciiTheme="minorHAnsi" w:hAnsiTheme="minorHAnsi" w:cs="Times New Roman"/>
              </w:rPr>
            </w:pPr>
            <w:r w:rsidRPr="00FA5040">
              <w:rPr>
                <w:rFonts w:asciiTheme="minorHAnsi" w:hAnsiTheme="minorHAnsi" w:cs="Times New Roman"/>
              </w:rPr>
              <w:t>PROVIDÊNCIAS</w:t>
            </w:r>
          </w:p>
        </w:tc>
      </w:tr>
      <w:tr w:rsidR="00C57AB8" w:rsidRPr="00FA5040" w14:paraId="6E881AE8" w14:textId="77777777" w:rsidTr="008F2B37">
        <w:trPr>
          <w:cantSplit/>
          <w:trHeight w:hRule="exact" w:val="227"/>
        </w:trPr>
        <w:tc>
          <w:tcPr>
            <w:tcW w:w="3789" w:type="dxa"/>
            <w:shd w:val="clear" w:color="auto" w:fill="auto"/>
            <w:tcMar>
              <w:top w:w="0" w:type="dxa"/>
              <w:left w:w="108" w:type="dxa"/>
              <w:bottom w:w="0" w:type="dxa"/>
              <w:right w:w="108" w:type="dxa"/>
            </w:tcMar>
          </w:tcPr>
          <w:p w14:paraId="2E2111CD" w14:textId="77777777" w:rsidR="00C57AB8" w:rsidRPr="00E44AEF" w:rsidRDefault="00C57AB8" w:rsidP="008F2B37">
            <w:pPr>
              <w:pStyle w:val="Padro"/>
              <w:tabs>
                <w:tab w:val="left" w:pos="6750"/>
              </w:tabs>
              <w:jc w:val="center"/>
              <w:rPr>
                <w:rFonts w:asciiTheme="minorHAnsi" w:hAnsiTheme="minorHAnsi" w:cs="Times New Roman"/>
                <w:sz w:val="20"/>
                <w:szCs w:val="20"/>
              </w:rPr>
            </w:pPr>
            <w:r w:rsidRPr="00E44AEF">
              <w:rPr>
                <w:rFonts w:asciiTheme="minorHAnsi" w:hAnsiTheme="minorHAnsi" w:cs="Times New Roman"/>
                <w:sz w:val="20"/>
                <w:szCs w:val="20"/>
              </w:rPr>
              <w:t>Descrição</w:t>
            </w:r>
          </w:p>
        </w:tc>
        <w:tc>
          <w:tcPr>
            <w:tcW w:w="1701" w:type="dxa"/>
            <w:shd w:val="clear" w:color="auto" w:fill="auto"/>
            <w:tcMar>
              <w:top w:w="0" w:type="dxa"/>
              <w:left w:w="108" w:type="dxa"/>
              <w:bottom w:w="0" w:type="dxa"/>
              <w:right w:w="108" w:type="dxa"/>
            </w:tcMar>
          </w:tcPr>
          <w:p w14:paraId="45B4A2C4" w14:textId="77777777" w:rsidR="00C57AB8" w:rsidRPr="00E44AEF" w:rsidRDefault="00C57AB8" w:rsidP="008F2B37">
            <w:pPr>
              <w:pStyle w:val="Padro"/>
              <w:tabs>
                <w:tab w:val="left" w:pos="6750"/>
              </w:tabs>
              <w:jc w:val="center"/>
              <w:rPr>
                <w:rFonts w:asciiTheme="minorHAnsi" w:hAnsiTheme="minorHAnsi" w:cs="Times New Roman"/>
                <w:sz w:val="20"/>
                <w:szCs w:val="20"/>
              </w:rPr>
            </w:pPr>
            <w:r w:rsidRPr="00E44AEF">
              <w:rPr>
                <w:rFonts w:asciiTheme="minorHAnsi" w:hAnsiTheme="minorHAnsi" w:cs="Times New Roman"/>
                <w:sz w:val="20"/>
                <w:szCs w:val="20"/>
              </w:rPr>
              <w:t>Valor</w:t>
            </w:r>
          </w:p>
        </w:tc>
        <w:tc>
          <w:tcPr>
            <w:tcW w:w="1984" w:type="dxa"/>
            <w:shd w:val="clear" w:color="auto" w:fill="auto"/>
            <w:tcMar>
              <w:top w:w="0" w:type="dxa"/>
              <w:left w:w="108" w:type="dxa"/>
              <w:bottom w:w="0" w:type="dxa"/>
              <w:right w:w="108" w:type="dxa"/>
            </w:tcMar>
          </w:tcPr>
          <w:p w14:paraId="3DD50302" w14:textId="77777777" w:rsidR="00C57AB8" w:rsidRPr="00E44AEF" w:rsidRDefault="00C57AB8" w:rsidP="008F2B37">
            <w:pPr>
              <w:pStyle w:val="Padro"/>
              <w:tabs>
                <w:tab w:val="left" w:pos="6750"/>
              </w:tabs>
              <w:jc w:val="center"/>
              <w:rPr>
                <w:rFonts w:asciiTheme="minorHAnsi" w:hAnsiTheme="minorHAnsi" w:cs="Times New Roman"/>
                <w:sz w:val="20"/>
                <w:szCs w:val="20"/>
              </w:rPr>
            </w:pPr>
            <w:r w:rsidRPr="00E44AEF">
              <w:rPr>
                <w:rFonts w:asciiTheme="minorHAnsi" w:hAnsiTheme="minorHAnsi" w:cs="Times New Roman"/>
                <w:sz w:val="20"/>
                <w:szCs w:val="20"/>
              </w:rPr>
              <w:t>Descrição</w:t>
            </w:r>
          </w:p>
        </w:tc>
        <w:tc>
          <w:tcPr>
            <w:tcW w:w="1560" w:type="dxa"/>
            <w:shd w:val="clear" w:color="auto" w:fill="auto"/>
            <w:tcMar>
              <w:top w:w="0" w:type="dxa"/>
              <w:left w:w="108" w:type="dxa"/>
              <w:bottom w:w="0" w:type="dxa"/>
              <w:right w:w="108" w:type="dxa"/>
            </w:tcMar>
          </w:tcPr>
          <w:p w14:paraId="2FE13A58" w14:textId="77777777" w:rsidR="00C57AB8" w:rsidRPr="00E44AEF" w:rsidRDefault="00C57AB8" w:rsidP="008F2B37">
            <w:pPr>
              <w:pStyle w:val="Padro"/>
              <w:tabs>
                <w:tab w:val="left" w:pos="6750"/>
              </w:tabs>
              <w:jc w:val="center"/>
              <w:rPr>
                <w:rFonts w:asciiTheme="minorHAnsi" w:hAnsiTheme="minorHAnsi" w:cs="Times New Roman"/>
                <w:sz w:val="20"/>
                <w:szCs w:val="20"/>
              </w:rPr>
            </w:pPr>
            <w:r w:rsidRPr="00E44AEF">
              <w:rPr>
                <w:rFonts w:asciiTheme="minorHAnsi" w:hAnsiTheme="minorHAnsi" w:cs="Times New Roman"/>
                <w:sz w:val="20"/>
                <w:szCs w:val="20"/>
              </w:rPr>
              <w:t>Valor</w:t>
            </w:r>
          </w:p>
        </w:tc>
      </w:tr>
      <w:tr w:rsidR="00C57AB8" w:rsidRPr="00D55188" w14:paraId="2B8F9F10" w14:textId="77777777" w:rsidTr="008F2B37">
        <w:trPr>
          <w:cantSplit/>
          <w:trHeight w:val="832"/>
        </w:trPr>
        <w:tc>
          <w:tcPr>
            <w:tcW w:w="3789" w:type="dxa"/>
            <w:shd w:val="clear" w:color="auto" w:fill="auto"/>
            <w:tcMar>
              <w:top w:w="0" w:type="dxa"/>
              <w:left w:w="108" w:type="dxa"/>
              <w:bottom w:w="0" w:type="dxa"/>
              <w:right w:w="108" w:type="dxa"/>
            </w:tcMar>
          </w:tcPr>
          <w:p w14:paraId="767D276C"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 xml:space="preserve">Câmara Municipal de Contagem: ação em andamento na justiça impetrada por </w:t>
            </w:r>
            <w:proofErr w:type="spellStart"/>
            <w:r w:rsidRPr="00D55188">
              <w:rPr>
                <w:rFonts w:asciiTheme="minorHAnsi" w:hAnsiTheme="minorHAnsi" w:cs="Times New Roman"/>
              </w:rPr>
              <w:t>ex-servidora</w:t>
            </w:r>
            <w:proofErr w:type="spellEnd"/>
            <w:r w:rsidRPr="00D55188">
              <w:rPr>
                <w:rFonts w:asciiTheme="minorHAnsi" w:hAnsiTheme="minorHAnsi" w:cs="Times New Roman"/>
              </w:rPr>
              <w:t xml:space="preserve"> da Câmara Municipal.</w:t>
            </w:r>
          </w:p>
        </w:tc>
        <w:tc>
          <w:tcPr>
            <w:tcW w:w="1701" w:type="dxa"/>
            <w:shd w:val="clear" w:color="auto" w:fill="auto"/>
            <w:tcMar>
              <w:top w:w="0" w:type="dxa"/>
              <w:left w:w="108" w:type="dxa"/>
              <w:bottom w:w="0" w:type="dxa"/>
              <w:right w:w="108" w:type="dxa"/>
            </w:tcMar>
          </w:tcPr>
          <w:p w14:paraId="3A5E3EDD"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3.991.898,75</w:t>
            </w:r>
          </w:p>
        </w:tc>
        <w:tc>
          <w:tcPr>
            <w:tcW w:w="1984" w:type="dxa"/>
            <w:shd w:val="clear" w:color="auto" w:fill="auto"/>
            <w:tcMar>
              <w:top w:w="0" w:type="dxa"/>
              <w:left w:w="108" w:type="dxa"/>
              <w:bottom w:w="0" w:type="dxa"/>
              <w:right w:w="108" w:type="dxa"/>
            </w:tcMar>
          </w:tcPr>
          <w:p w14:paraId="4C9E7C07"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Abertura de créditos adicionais.</w:t>
            </w:r>
          </w:p>
        </w:tc>
        <w:tc>
          <w:tcPr>
            <w:tcW w:w="1560" w:type="dxa"/>
            <w:shd w:val="clear" w:color="auto" w:fill="auto"/>
            <w:tcMar>
              <w:top w:w="0" w:type="dxa"/>
              <w:left w:w="108" w:type="dxa"/>
              <w:bottom w:w="0" w:type="dxa"/>
              <w:right w:w="108" w:type="dxa"/>
            </w:tcMar>
          </w:tcPr>
          <w:p w14:paraId="7708E6EA"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3.991.898,75</w:t>
            </w:r>
          </w:p>
        </w:tc>
      </w:tr>
      <w:tr w:rsidR="00C57AB8" w:rsidRPr="00D55188" w14:paraId="0CC6538E" w14:textId="77777777" w:rsidTr="008F2B37">
        <w:trPr>
          <w:cantSplit/>
          <w:trHeight w:val="227"/>
        </w:trPr>
        <w:tc>
          <w:tcPr>
            <w:tcW w:w="3789" w:type="dxa"/>
            <w:shd w:val="clear" w:color="auto" w:fill="auto"/>
            <w:tcMar>
              <w:top w:w="0" w:type="dxa"/>
              <w:left w:w="108" w:type="dxa"/>
              <w:bottom w:w="0" w:type="dxa"/>
              <w:right w:w="108" w:type="dxa"/>
            </w:tcMar>
          </w:tcPr>
          <w:p w14:paraId="3FD5EC9F"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TRANSCON: ação em andamento - acidente de trânsito pedido de indenização por danos morais, pensão vitalícia e indenização por danos físicos. Alegação de sinalização preponderante para acidentes.</w:t>
            </w:r>
          </w:p>
        </w:tc>
        <w:tc>
          <w:tcPr>
            <w:tcW w:w="1701" w:type="dxa"/>
            <w:shd w:val="clear" w:color="auto" w:fill="auto"/>
            <w:tcMar>
              <w:top w:w="0" w:type="dxa"/>
              <w:left w:w="108" w:type="dxa"/>
              <w:bottom w:w="0" w:type="dxa"/>
              <w:right w:w="108" w:type="dxa"/>
            </w:tcMar>
          </w:tcPr>
          <w:p w14:paraId="0CE3785D"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1.499.200,00</w:t>
            </w:r>
          </w:p>
        </w:tc>
        <w:tc>
          <w:tcPr>
            <w:tcW w:w="1984" w:type="dxa"/>
            <w:shd w:val="clear" w:color="auto" w:fill="auto"/>
            <w:tcMar>
              <w:top w:w="0" w:type="dxa"/>
              <w:left w:w="108" w:type="dxa"/>
              <w:bottom w:w="0" w:type="dxa"/>
              <w:right w:w="108" w:type="dxa"/>
            </w:tcMar>
          </w:tcPr>
          <w:p w14:paraId="0D8D5125"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Abertura de créditos adicionais.</w:t>
            </w:r>
          </w:p>
        </w:tc>
        <w:tc>
          <w:tcPr>
            <w:tcW w:w="1560" w:type="dxa"/>
            <w:shd w:val="clear" w:color="auto" w:fill="auto"/>
            <w:tcMar>
              <w:top w:w="0" w:type="dxa"/>
              <w:left w:w="108" w:type="dxa"/>
              <w:bottom w:w="0" w:type="dxa"/>
              <w:right w:w="108" w:type="dxa"/>
            </w:tcMar>
          </w:tcPr>
          <w:p w14:paraId="016EA541"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1.499.200,00</w:t>
            </w:r>
          </w:p>
        </w:tc>
      </w:tr>
      <w:tr w:rsidR="00C57AB8" w:rsidRPr="00D55188" w14:paraId="40719BA4" w14:textId="77777777" w:rsidTr="008F2B37">
        <w:trPr>
          <w:cantSplit/>
          <w:trHeight w:val="227"/>
        </w:trPr>
        <w:tc>
          <w:tcPr>
            <w:tcW w:w="3789" w:type="dxa"/>
            <w:shd w:val="clear" w:color="auto" w:fill="auto"/>
            <w:tcMar>
              <w:top w:w="0" w:type="dxa"/>
              <w:left w:w="108" w:type="dxa"/>
              <w:bottom w:w="0" w:type="dxa"/>
              <w:right w:w="108" w:type="dxa"/>
            </w:tcMar>
          </w:tcPr>
          <w:p w14:paraId="2F80371E"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TRANSCON: ação em andamento - acidente de trânsito pedido de indenização por danos morais, e materiais pensão vitalícia e indenização por danos físicos. Alegação de sinalização preponderante para acidentes.</w:t>
            </w:r>
          </w:p>
        </w:tc>
        <w:tc>
          <w:tcPr>
            <w:tcW w:w="1701" w:type="dxa"/>
            <w:shd w:val="clear" w:color="auto" w:fill="auto"/>
            <w:tcMar>
              <w:top w:w="0" w:type="dxa"/>
              <w:left w:w="108" w:type="dxa"/>
              <w:bottom w:w="0" w:type="dxa"/>
              <w:right w:w="108" w:type="dxa"/>
            </w:tcMar>
          </w:tcPr>
          <w:p w14:paraId="64CF58A5"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760.500,00</w:t>
            </w:r>
          </w:p>
        </w:tc>
        <w:tc>
          <w:tcPr>
            <w:tcW w:w="1984" w:type="dxa"/>
            <w:shd w:val="clear" w:color="auto" w:fill="auto"/>
            <w:tcMar>
              <w:top w:w="0" w:type="dxa"/>
              <w:left w:w="108" w:type="dxa"/>
              <w:bottom w:w="0" w:type="dxa"/>
              <w:right w:w="108" w:type="dxa"/>
            </w:tcMar>
          </w:tcPr>
          <w:p w14:paraId="018892DE"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Abertura de créditos adicionais.</w:t>
            </w:r>
          </w:p>
        </w:tc>
        <w:tc>
          <w:tcPr>
            <w:tcW w:w="1560" w:type="dxa"/>
            <w:shd w:val="clear" w:color="auto" w:fill="auto"/>
            <w:tcMar>
              <w:top w:w="0" w:type="dxa"/>
              <w:left w:w="108" w:type="dxa"/>
              <w:bottom w:w="0" w:type="dxa"/>
              <w:right w:w="108" w:type="dxa"/>
            </w:tcMar>
          </w:tcPr>
          <w:p w14:paraId="6F76ED11"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760.500,00</w:t>
            </w:r>
          </w:p>
        </w:tc>
      </w:tr>
      <w:tr w:rsidR="00C57AB8" w:rsidRPr="00D55188" w14:paraId="4467B82A" w14:textId="77777777" w:rsidTr="008F2B37">
        <w:trPr>
          <w:cantSplit/>
          <w:trHeight w:val="227"/>
        </w:trPr>
        <w:tc>
          <w:tcPr>
            <w:tcW w:w="3789" w:type="dxa"/>
            <w:shd w:val="clear" w:color="auto" w:fill="auto"/>
            <w:tcMar>
              <w:top w:w="0" w:type="dxa"/>
              <w:left w:w="108" w:type="dxa"/>
              <w:bottom w:w="0" w:type="dxa"/>
              <w:right w:w="108" w:type="dxa"/>
            </w:tcMar>
          </w:tcPr>
          <w:p w14:paraId="616CA856"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TRANSCON: ação em andamento - acidente de trânsito pedido de indenização por danos materiais e morais pensão mensal, restituição com das despesas com alegação de sinalização preponderante para acidentes</w:t>
            </w:r>
          </w:p>
        </w:tc>
        <w:tc>
          <w:tcPr>
            <w:tcW w:w="1701" w:type="dxa"/>
            <w:shd w:val="clear" w:color="auto" w:fill="auto"/>
            <w:tcMar>
              <w:top w:w="0" w:type="dxa"/>
              <w:left w:w="108" w:type="dxa"/>
              <w:bottom w:w="0" w:type="dxa"/>
              <w:right w:w="108" w:type="dxa"/>
            </w:tcMar>
          </w:tcPr>
          <w:p w14:paraId="2082C934"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468.500,00</w:t>
            </w:r>
          </w:p>
        </w:tc>
        <w:tc>
          <w:tcPr>
            <w:tcW w:w="1984" w:type="dxa"/>
            <w:shd w:val="clear" w:color="auto" w:fill="auto"/>
            <w:tcMar>
              <w:top w:w="0" w:type="dxa"/>
              <w:left w:w="108" w:type="dxa"/>
              <w:bottom w:w="0" w:type="dxa"/>
              <w:right w:w="108" w:type="dxa"/>
            </w:tcMar>
          </w:tcPr>
          <w:p w14:paraId="546DA130"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Abertura de créditos adicionais.</w:t>
            </w:r>
          </w:p>
        </w:tc>
        <w:tc>
          <w:tcPr>
            <w:tcW w:w="1560" w:type="dxa"/>
            <w:shd w:val="clear" w:color="auto" w:fill="auto"/>
            <w:tcMar>
              <w:top w:w="0" w:type="dxa"/>
              <w:left w:w="108" w:type="dxa"/>
              <w:bottom w:w="0" w:type="dxa"/>
              <w:right w:w="108" w:type="dxa"/>
            </w:tcMar>
          </w:tcPr>
          <w:p w14:paraId="0CCD8B5A"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468.500,00</w:t>
            </w:r>
          </w:p>
        </w:tc>
      </w:tr>
      <w:tr w:rsidR="00C57AB8" w:rsidRPr="00D55188" w14:paraId="01D4CD84" w14:textId="77777777" w:rsidTr="008F2B37">
        <w:trPr>
          <w:cantSplit/>
          <w:trHeight w:val="227"/>
        </w:trPr>
        <w:tc>
          <w:tcPr>
            <w:tcW w:w="3789" w:type="dxa"/>
            <w:shd w:val="clear" w:color="auto" w:fill="auto"/>
            <w:tcMar>
              <w:top w:w="0" w:type="dxa"/>
              <w:left w:w="108" w:type="dxa"/>
              <w:bottom w:w="0" w:type="dxa"/>
              <w:right w:w="108" w:type="dxa"/>
            </w:tcMar>
          </w:tcPr>
          <w:p w14:paraId="5A10ED23"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TRANSCON: ação em andamento - queda de marquise do ponto de ônibus, danos materiais e pensão mensal.</w:t>
            </w:r>
          </w:p>
        </w:tc>
        <w:tc>
          <w:tcPr>
            <w:tcW w:w="1701" w:type="dxa"/>
            <w:shd w:val="clear" w:color="auto" w:fill="auto"/>
            <w:tcMar>
              <w:top w:w="0" w:type="dxa"/>
              <w:left w:w="108" w:type="dxa"/>
              <w:bottom w:w="0" w:type="dxa"/>
              <w:right w:w="108" w:type="dxa"/>
            </w:tcMar>
          </w:tcPr>
          <w:p w14:paraId="5666354D"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857.355,00</w:t>
            </w:r>
          </w:p>
        </w:tc>
        <w:tc>
          <w:tcPr>
            <w:tcW w:w="1984" w:type="dxa"/>
            <w:shd w:val="clear" w:color="auto" w:fill="auto"/>
            <w:tcMar>
              <w:top w:w="0" w:type="dxa"/>
              <w:left w:w="108" w:type="dxa"/>
              <w:bottom w:w="0" w:type="dxa"/>
              <w:right w:w="108" w:type="dxa"/>
            </w:tcMar>
          </w:tcPr>
          <w:p w14:paraId="2A179FCB"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Abertura de créditos adicionais.</w:t>
            </w:r>
          </w:p>
        </w:tc>
        <w:tc>
          <w:tcPr>
            <w:tcW w:w="1560" w:type="dxa"/>
            <w:shd w:val="clear" w:color="auto" w:fill="auto"/>
            <w:tcMar>
              <w:top w:w="0" w:type="dxa"/>
              <w:left w:w="108" w:type="dxa"/>
              <w:bottom w:w="0" w:type="dxa"/>
              <w:right w:w="108" w:type="dxa"/>
            </w:tcMar>
          </w:tcPr>
          <w:p w14:paraId="6759F9E6"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857.355,00</w:t>
            </w:r>
          </w:p>
        </w:tc>
      </w:tr>
      <w:tr w:rsidR="00C57AB8" w:rsidRPr="00D55188" w14:paraId="6B139D0D" w14:textId="77777777" w:rsidTr="008F2B37">
        <w:trPr>
          <w:cantSplit/>
          <w:trHeight w:val="227"/>
        </w:trPr>
        <w:tc>
          <w:tcPr>
            <w:tcW w:w="3789" w:type="dxa"/>
            <w:shd w:val="clear" w:color="auto" w:fill="auto"/>
            <w:tcMar>
              <w:top w:w="0" w:type="dxa"/>
              <w:left w:w="108" w:type="dxa"/>
              <w:bottom w:w="0" w:type="dxa"/>
              <w:right w:w="108" w:type="dxa"/>
            </w:tcMar>
          </w:tcPr>
          <w:p w14:paraId="5BDCF613"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TRANSCON: ação em andamento indenização por lucros cessantes.</w:t>
            </w:r>
          </w:p>
        </w:tc>
        <w:tc>
          <w:tcPr>
            <w:tcW w:w="1701" w:type="dxa"/>
            <w:shd w:val="clear" w:color="auto" w:fill="auto"/>
            <w:tcMar>
              <w:top w:w="0" w:type="dxa"/>
              <w:left w:w="108" w:type="dxa"/>
              <w:bottom w:w="0" w:type="dxa"/>
              <w:right w:w="108" w:type="dxa"/>
            </w:tcMar>
          </w:tcPr>
          <w:p w14:paraId="46D92ECA"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100.000,000</w:t>
            </w:r>
          </w:p>
        </w:tc>
        <w:tc>
          <w:tcPr>
            <w:tcW w:w="1984" w:type="dxa"/>
            <w:shd w:val="clear" w:color="auto" w:fill="auto"/>
            <w:tcMar>
              <w:top w:w="0" w:type="dxa"/>
              <w:left w:w="108" w:type="dxa"/>
              <w:bottom w:w="0" w:type="dxa"/>
              <w:right w:w="108" w:type="dxa"/>
            </w:tcMar>
          </w:tcPr>
          <w:p w14:paraId="14E4DDD7"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Abertura de créditos adicionais.</w:t>
            </w:r>
          </w:p>
        </w:tc>
        <w:tc>
          <w:tcPr>
            <w:tcW w:w="1560" w:type="dxa"/>
            <w:shd w:val="clear" w:color="auto" w:fill="auto"/>
            <w:tcMar>
              <w:top w:w="0" w:type="dxa"/>
              <w:left w:w="108" w:type="dxa"/>
              <w:bottom w:w="0" w:type="dxa"/>
              <w:right w:w="108" w:type="dxa"/>
            </w:tcMar>
          </w:tcPr>
          <w:p w14:paraId="2B1F4E82"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100.000,000</w:t>
            </w:r>
          </w:p>
        </w:tc>
      </w:tr>
      <w:tr w:rsidR="00C57AB8" w:rsidRPr="00D55188" w14:paraId="27594071" w14:textId="77777777" w:rsidTr="008F2B37">
        <w:trPr>
          <w:cantSplit/>
          <w:trHeight w:val="227"/>
        </w:trPr>
        <w:tc>
          <w:tcPr>
            <w:tcW w:w="3789" w:type="dxa"/>
            <w:shd w:val="clear" w:color="auto" w:fill="auto"/>
            <w:tcMar>
              <w:top w:w="0" w:type="dxa"/>
              <w:left w:w="108" w:type="dxa"/>
              <w:bottom w:w="0" w:type="dxa"/>
              <w:right w:w="108" w:type="dxa"/>
            </w:tcMar>
          </w:tcPr>
          <w:p w14:paraId="6A7CF508"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TRANSCON: ação em andamento -indenização trabalhista referente a valores da progressão vertical e horizontal no período de 5 anos.</w:t>
            </w:r>
          </w:p>
        </w:tc>
        <w:tc>
          <w:tcPr>
            <w:tcW w:w="1701" w:type="dxa"/>
            <w:shd w:val="clear" w:color="auto" w:fill="auto"/>
            <w:tcMar>
              <w:top w:w="0" w:type="dxa"/>
              <w:left w:w="108" w:type="dxa"/>
              <w:bottom w:w="0" w:type="dxa"/>
              <w:right w:w="108" w:type="dxa"/>
            </w:tcMar>
          </w:tcPr>
          <w:p w14:paraId="56D110BE"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174.005,55</w:t>
            </w:r>
          </w:p>
        </w:tc>
        <w:tc>
          <w:tcPr>
            <w:tcW w:w="1984" w:type="dxa"/>
            <w:shd w:val="clear" w:color="auto" w:fill="auto"/>
            <w:tcMar>
              <w:top w:w="0" w:type="dxa"/>
              <w:left w:w="108" w:type="dxa"/>
              <w:bottom w:w="0" w:type="dxa"/>
              <w:right w:w="108" w:type="dxa"/>
            </w:tcMar>
          </w:tcPr>
          <w:p w14:paraId="2D7C24E3"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Abertura de créditos adicionais.</w:t>
            </w:r>
          </w:p>
        </w:tc>
        <w:tc>
          <w:tcPr>
            <w:tcW w:w="1560" w:type="dxa"/>
            <w:shd w:val="clear" w:color="auto" w:fill="auto"/>
            <w:tcMar>
              <w:top w:w="0" w:type="dxa"/>
              <w:left w:w="108" w:type="dxa"/>
              <w:bottom w:w="0" w:type="dxa"/>
              <w:right w:w="108" w:type="dxa"/>
            </w:tcMar>
          </w:tcPr>
          <w:p w14:paraId="0E9FE678"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174.005,55</w:t>
            </w:r>
          </w:p>
        </w:tc>
      </w:tr>
      <w:tr w:rsidR="00C57AB8" w:rsidRPr="00D55188" w14:paraId="22087976" w14:textId="77777777" w:rsidTr="008F2B37">
        <w:trPr>
          <w:cantSplit/>
          <w:trHeight w:val="227"/>
        </w:trPr>
        <w:tc>
          <w:tcPr>
            <w:tcW w:w="3789" w:type="dxa"/>
            <w:shd w:val="clear" w:color="auto" w:fill="auto"/>
            <w:tcMar>
              <w:top w:w="0" w:type="dxa"/>
              <w:left w:w="108" w:type="dxa"/>
              <w:bottom w:w="0" w:type="dxa"/>
              <w:right w:w="108" w:type="dxa"/>
            </w:tcMar>
          </w:tcPr>
          <w:p w14:paraId="260A0765"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lastRenderedPageBreak/>
              <w:t>TRANSCON: ação em andamento - pagamentos supostamente não repassados a SITRAN em decorrência de contrato administrativo.</w:t>
            </w:r>
          </w:p>
        </w:tc>
        <w:tc>
          <w:tcPr>
            <w:tcW w:w="1701" w:type="dxa"/>
            <w:shd w:val="clear" w:color="auto" w:fill="auto"/>
            <w:tcMar>
              <w:top w:w="0" w:type="dxa"/>
              <w:left w:w="108" w:type="dxa"/>
              <w:bottom w:w="0" w:type="dxa"/>
              <w:right w:w="108" w:type="dxa"/>
            </w:tcMar>
          </w:tcPr>
          <w:p w14:paraId="69CA6716"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4.744.984,00</w:t>
            </w:r>
          </w:p>
        </w:tc>
        <w:tc>
          <w:tcPr>
            <w:tcW w:w="1984" w:type="dxa"/>
            <w:shd w:val="clear" w:color="auto" w:fill="auto"/>
            <w:tcMar>
              <w:top w:w="0" w:type="dxa"/>
              <w:left w:w="108" w:type="dxa"/>
              <w:bottom w:w="0" w:type="dxa"/>
              <w:right w:w="108" w:type="dxa"/>
            </w:tcMar>
          </w:tcPr>
          <w:p w14:paraId="14E19614"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Abertura de créditos adicionais.</w:t>
            </w:r>
          </w:p>
        </w:tc>
        <w:tc>
          <w:tcPr>
            <w:tcW w:w="1560" w:type="dxa"/>
            <w:shd w:val="clear" w:color="auto" w:fill="auto"/>
            <w:tcMar>
              <w:top w:w="0" w:type="dxa"/>
              <w:left w:w="108" w:type="dxa"/>
              <w:bottom w:w="0" w:type="dxa"/>
              <w:right w:w="108" w:type="dxa"/>
            </w:tcMar>
          </w:tcPr>
          <w:p w14:paraId="2D474400"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4.744.984,00</w:t>
            </w:r>
          </w:p>
        </w:tc>
      </w:tr>
      <w:tr w:rsidR="00C57AB8" w:rsidRPr="00D55188" w14:paraId="39EC127F" w14:textId="77777777" w:rsidTr="008F2B37">
        <w:trPr>
          <w:cantSplit/>
          <w:trHeight w:val="227"/>
        </w:trPr>
        <w:tc>
          <w:tcPr>
            <w:tcW w:w="3789" w:type="dxa"/>
            <w:shd w:val="clear" w:color="auto" w:fill="auto"/>
            <w:tcMar>
              <w:top w:w="0" w:type="dxa"/>
              <w:left w:w="108" w:type="dxa"/>
              <w:bottom w:w="0" w:type="dxa"/>
              <w:right w:w="108" w:type="dxa"/>
            </w:tcMar>
          </w:tcPr>
          <w:p w14:paraId="3A2865F4"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 xml:space="preserve">TRASNCON: ação em andamento - suposta ausência de repasses de valores a empresas que integram os consórcios Norte e Sul. </w:t>
            </w:r>
          </w:p>
        </w:tc>
        <w:tc>
          <w:tcPr>
            <w:tcW w:w="1701" w:type="dxa"/>
            <w:shd w:val="clear" w:color="auto" w:fill="auto"/>
            <w:tcMar>
              <w:top w:w="0" w:type="dxa"/>
              <w:left w:w="108" w:type="dxa"/>
              <w:bottom w:w="0" w:type="dxa"/>
              <w:right w:w="108" w:type="dxa"/>
            </w:tcMar>
          </w:tcPr>
          <w:p w14:paraId="3ADC236C"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1.709.061,90</w:t>
            </w:r>
          </w:p>
        </w:tc>
        <w:tc>
          <w:tcPr>
            <w:tcW w:w="1984" w:type="dxa"/>
            <w:shd w:val="clear" w:color="auto" w:fill="auto"/>
            <w:tcMar>
              <w:top w:w="0" w:type="dxa"/>
              <w:left w:w="108" w:type="dxa"/>
              <w:bottom w:w="0" w:type="dxa"/>
              <w:right w:w="108" w:type="dxa"/>
            </w:tcMar>
          </w:tcPr>
          <w:p w14:paraId="2A47C1A6"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Abertura de créditos adicionais.</w:t>
            </w:r>
          </w:p>
        </w:tc>
        <w:tc>
          <w:tcPr>
            <w:tcW w:w="1560" w:type="dxa"/>
            <w:shd w:val="clear" w:color="auto" w:fill="auto"/>
            <w:tcMar>
              <w:top w:w="0" w:type="dxa"/>
              <w:left w:w="108" w:type="dxa"/>
              <w:bottom w:w="0" w:type="dxa"/>
              <w:right w:w="108" w:type="dxa"/>
            </w:tcMar>
          </w:tcPr>
          <w:p w14:paraId="1DDCC7DC" w14:textId="77777777" w:rsidR="00C57AB8" w:rsidRPr="00D55188" w:rsidRDefault="00C57AB8" w:rsidP="008F2B37">
            <w:pPr>
              <w:pStyle w:val="Padro"/>
              <w:tabs>
                <w:tab w:val="left" w:pos="6750"/>
              </w:tabs>
              <w:jc w:val="right"/>
              <w:rPr>
                <w:rFonts w:asciiTheme="minorHAnsi" w:hAnsiTheme="minorHAnsi" w:cs="Times New Roman"/>
              </w:rPr>
            </w:pPr>
            <w:r w:rsidRPr="00D55188">
              <w:rPr>
                <w:rFonts w:asciiTheme="minorHAnsi" w:hAnsiTheme="minorHAnsi" w:cs="Times New Roman"/>
              </w:rPr>
              <w:t>1.709.061,90</w:t>
            </w:r>
          </w:p>
        </w:tc>
      </w:tr>
      <w:tr w:rsidR="00C57AB8" w:rsidRPr="00D55188" w14:paraId="32E1FB5A" w14:textId="77777777" w:rsidTr="008F2B37">
        <w:trPr>
          <w:cantSplit/>
          <w:trHeight w:hRule="exact" w:val="454"/>
        </w:trPr>
        <w:tc>
          <w:tcPr>
            <w:tcW w:w="3789" w:type="dxa"/>
            <w:shd w:val="clear" w:color="auto" w:fill="auto"/>
            <w:tcMar>
              <w:top w:w="0" w:type="dxa"/>
              <w:left w:w="108" w:type="dxa"/>
              <w:bottom w:w="0" w:type="dxa"/>
              <w:right w:w="108" w:type="dxa"/>
            </w:tcMar>
          </w:tcPr>
          <w:p w14:paraId="308E683B"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TOTAL</w:t>
            </w:r>
          </w:p>
        </w:tc>
        <w:tc>
          <w:tcPr>
            <w:tcW w:w="1701" w:type="dxa"/>
            <w:shd w:val="clear" w:color="auto" w:fill="auto"/>
            <w:tcMar>
              <w:top w:w="0" w:type="dxa"/>
              <w:left w:w="108" w:type="dxa"/>
              <w:bottom w:w="0" w:type="dxa"/>
              <w:right w:w="108" w:type="dxa"/>
            </w:tcMar>
          </w:tcPr>
          <w:p w14:paraId="62416DF5" w14:textId="77777777" w:rsidR="00C57AB8" w:rsidRPr="00D55188" w:rsidRDefault="00C57AB8" w:rsidP="008F2B37">
            <w:pPr>
              <w:spacing w:line="240" w:lineRule="auto"/>
              <w:jc w:val="right"/>
            </w:pPr>
            <w:r w:rsidRPr="00D55188">
              <w:rPr>
                <w:rFonts w:ascii="Calibri" w:hAnsi="Calibri" w:cs="Calibri"/>
              </w:rPr>
              <w:t>14.305.505,20</w:t>
            </w:r>
          </w:p>
        </w:tc>
        <w:tc>
          <w:tcPr>
            <w:tcW w:w="1984" w:type="dxa"/>
            <w:shd w:val="clear" w:color="auto" w:fill="auto"/>
            <w:tcMar>
              <w:top w:w="0" w:type="dxa"/>
              <w:left w:w="108" w:type="dxa"/>
              <w:bottom w:w="0" w:type="dxa"/>
              <w:right w:w="108" w:type="dxa"/>
            </w:tcMar>
          </w:tcPr>
          <w:p w14:paraId="032437A2" w14:textId="77777777" w:rsidR="00C57AB8" w:rsidRPr="00D55188" w:rsidRDefault="00C57AB8" w:rsidP="008F2B37">
            <w:pPr>
              <w:pStyle w:val="Padro"/>
              <w:tabs>
                <w:tab w:val="left" w:pos="6750"/>
              </w:tabs>
              <w:rPr>
                <w:rFonts w:asciiTheme="minorHAnsi" w:hAnsiTheme="minorHAnsi" w:cs="Times New Roman"/>
              </w:rPr>
            </w:pPr>
            <w:r w:rsidRPr="00D55188">
              <w:rPr>
                <w:rFonts w:asciiTheme="minorHAnsi" w:hAnsiTheme="minorHAnsi" w:cs="Times New Roman"/>
              </w:rPr>
              <w:t>TOTAL</w:t>
            </w:r>
          </w:p>
        </w:tc>
        <w:tc>
          <w:tcPr>
            <w:tcW w:w="1560" w:type="dxa"/>
            <w:shd w:val="clear" w:color="auto" w:fill="auto"/>
            <w:tcMar>
              <w:top w:w="0" w:type="dxa"/>
              <w:left w:w="108" w:type="dxa"/>
              <w:bottom w:w="0" w:type="dxa"/>
              <w:right w:w="108" w:type="dxa"/>
            </w:tcMar>
          </w:tcPr>
          <w:p w14:paraId="1F76FD59" w14:textId="77777777" w:rsidR="00C57AB8" w:rsidRPr="00D55188" w:rsidRDefault="00C57AB8" w:rsidP="008F2B37">
            <w:pPr>
              <w:spacing w:line="240" w:lineRule="auto"/>
              <w:jc w:val="right"/>
            </w:pPr>
            <w:r w:rsidRPr="00D55188">
              <w:rPr>
                <w:rFonts w:ascii="Calibri" w:hAnsi="Calibri" w:cs="Calibri"/>
              </w:rPr>
              <w:t>14.305.505,20</w:t>
            </w:r>
          </w:p>
        </w:tc>
      </w:tr>
    </w:tbl>
    <w:p w14:paraId="25A7135B" w14:textId="79DA87C8" w:rsidR="00C57AB8" w:rsidRDefault="00D55188" w:rsidP="00D55188">
      <w:pPr>
        <w:spacing w:after="0" w:line="240" w:lineRule="auto"/>
        <w:rPr>
          <w:rFonts w:cstheme="minorHAnsi"/>
          <w:sz w:val="20"/>
          <w:szCs w:val="20"/>
        </w:rPr>
      </w:pPr>
      <w:r>
        <w:rPr>
          <w:rFonts w:cstheme="minorHAnsi"/>
          <w:sz w:val="20"/>
          <w:szCs w:val="20"/>
        </w:rPr>
        <w:t>FONTE: Câmara Municipal de Contagem – 16/04/2018; Autarquia Municipal de Trânsito e Transporte – TRANSCON – 13/04/2018.</w:t>
      </w:r>
    </w:p>
    <w:p w14:paraId="4F97F2B3" w14:textId="77777777" w:rsidR="00D55188" w:rsidRPr="00883E29" w:rsidRDefault="00D55188" w:rsidP="00D55188">
      <w:pPr>
        <w:spacing w:after="0" w:line="240" w:lineRule="auto"/>
        <w:rPr>
          <w:rFonts w:cstheme="minorHAnsi"/>
          <w:sz w:val="20"/>
          <w:szCs w:val="20"/>
        </w:rPr>
      </w:pPr>
    </w:p>
    <w:sectPr w:rsidR="00D55188" w:rsidRPr="00883E29" w:rsidSect="00D55188">
      <w:pgSz w:w="11906" w:h="16838"/>
      <w:pgMar w:top="993" w:right="127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AF"/>
    <w:rsid w:val="00011808"/>
    <w:rsid w:val="00012417"/>
    <w:rsid w:val="00014C04"/>
    <w:rsid w:val="00031E7B"/>
    <w:rsid w:val="00054813"/>
    <w:rsid w:val="00071943"/>
    <w:rsid w:val="000B41DB"/>
    <w:rsid w:val="000C76A2"/>
    <w:rsid w:val="00125E02"/>
    <w:rsid w:val="00126EEC"/>
    <w:rsid w:val="00141856"/>
    <w:rsid w:val="00144EEE"/>
    <w:rsid w:val="00155778"/>
    <w:rsid w:val="00267898"/>
    <w:rsid w:val="002E0B30"/>
    <w:rsid w:val="00382A3D"/>
    <w:rsid w:val="003A1D33"/>
    <w:rsid w:val="003C1594"/>
    <w:rsid w:val="003C3D56"/>
    <w:rsid w:val="00402EEC"/>
    <w:rsid w:val="00424D97"/>
    <w:rsid w:val="00451123"/>
    <w:rsid w:val="00473CE1"/>
    <w:rsid w:val="004A1C55"/>
    <w:rsid w:val="004B6243"/>
    <w:rsid w:val="004C12AF"/>
    <w:rsid w:val="004F1F2D"/>
    <w:rsid w:val="005061F6"/>
    <w:rsid w:val="0055639E"/>
    <w:rsid w:val="00581B43"/>
    <w:rsid w:val="00592F65"/>
    <w:rsid w:val="00597907"/>
    <w:rsid w:val="006333FB"/>
    <w:rsid w:val="00674A60"/>
    <w:rsid w:val="00716320"/>
    <w:rsid w:val="00726A44"/>
    <w:rsid w:val="00766E21"/>
    <w:rsid w:val="007872A2"/>
    <w:rsid w:val="007B2219"/>
    <w:rsid w:val="007B27B6"/>
    <w:rsid w:val="007C64FB"/>
    <w:rsid w:val="007E674E"/>
    <w:rsid w:val="0083311B"/>
    <w:rsid w:val="008464DD"/>
    <w:rsid w:val="00866EBC"/>
    <w:rsid w:val="00883E29"/>
    <w:rsid w:val="008A061D"/>
    <w:rsid w:val="00922A0C"/>
    <w:rsid w:val="00960FE5"/>
    <w:rsid w:val="009A724B"/>
    <w:rsid w:val="009C1E6C"/>
    <w:rsid w:val="00A04D97"/>
    <w:rsid w:val="00A22A2E"/>
    <w:rsid w:val="00A5676F"/>
    <w:rsid w:val="00A67B6B"/>
    <w:rsid w:val="00A67FAE"/>
    <w:rsid w:val="00A7484A"/>
    <w:rsid w:val="00B02F6D"/>
    <w:rsid w:val="00B2551E"/>
    <w:rsid w:val="00B26B74"/>
    <w:rsid w:val="00BB7DFA"/>
    <w:rsid w:val="00C57AB8"/>
    <w:rsid w:val="00C66734"/>
    <w:rsid w:val="00C66F12"/>
    <w:rsid w:val="00C76197"/>
    <w:rsid w:val="00CB07ED"/>
    <w:rsid w:val="00CB6753"/>
    <w:rsid w:val="00CF78CF"/>
    <w:rsid w:val="00D36E82"/>
    <w:rsid w:val="00D40471"/>
    <w:rsid w:val="00D55188"/>
    <w:rsid w:val="00D83043"/>
    <w:rsid w:val="00DB6FF6"/>
    <w:rsid w:val="00E968B9"/>
    <w:rsid w:val="00ED7FC9"/>
    <w:rsid w:val="00EE4593"/>
    <w:rsid w:val="00F510E3"/>
    <w:rsid w:val="00F74CB4"/>
    <w:rsid w:val="00F86A4C"/>
    <w:rsid w:val="00F92B9F"/>
    <w:rsid w:val="00F92CB3"/>
    <w:rsid w:val="00FC6927"/>
    <w:rsid w:val="065422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9608"/>
  <w15:docId w15:val="{E3F78DCD-4AF8-463C-BA3E-5C6AC6F1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C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C12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4C12AF"/>
  </w:style>
  <w:style w:type="character" w:styleId="Refdecomentrio">
    <w:name w:val="annotation reference"/>
    <w:basedOn w:val="Fontepargpadro"/>
    <w:uiPriority w:val="99"/>
    <w:semiHidden/>
    <w:unhideWhenUsed/>
    <w:rsid w:val="007B2219"/>
    <w:rPr>
      <w:sz w:val="16"/>
      <w:szCs w:val="16"/>
    </w:rPr>
  </w:style>
  <w:style w:type="paragraph" w:styleId="Textodecomentrio">
    <w:name w:val="annotation text"/>
    <w:basedOn w:val="Normal"/>
    <w:link w:val="TextodecomentrioChar"/>
    <w:uiPriority w:val="99"/>
    <w:semiHidden/>
    <w:unhideWhenUsed/>
    <w:rsid w:val="007B221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B2219"/>
    <w:rPr>
      <w:sz w:val="20"/>
      <w:szCs w:val="20"/>
    </w:rPr>
  </w:style>
  <w:style w:type="paragraph" w:styleId="Assuntodocomentrio">
    <w:name w:val="annotation subject"/>
    <w:basedOn w:val="Textodecomentrio"/>
    <w:next w:val="Textodecomentrio"/>
    <w:link w:val="AssuntodocomentrioChar"/>
    <w:uiPriority w:val="99"/>
    <w:semiHidden/>
    <w:unhideWhenUsed/>
    <w:rsid w:val="007B2219"/>
    <w:rPr>
      <w:b/>
      <w:bCs/>
    </w:rPr>
  </w:style>
  <w:style w:type="character" w:customStyle="1" w:styleId="AssuntodocomentrioChar">
    <w:name w:val="Assunto do comentário Char"/>
    <w:basedOn w:val="TextodecomentrioChar"/>
    <w:link w:val="Assuntodocomentrio"/>
    <w:uiPriority w:val="99"/>
    <w:semiHidden/>
    <w:rsid w:val="007B2219"/>
    <w:rPr>
      <w:b/>
      <w:bCs/>
      <w:sz w:val="20"/>
      <w:szCs w:val="20"/>
    </w:rPr>
  </w:style>
  <w:style w:type="paragraph" w:styleId="Textodebalo">
    <w:name w:val="Balloon Text"/>
    <w:basedOn w:val="Normal"/>
    <w:link w:val="TextodebaloChar"/>
    <w:uiPriority w:val="99"/>
    <w:semiHidden/>
    <w:unhideWhenUsed/>
    <w:rsid w:val="007B22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2219"/>
    <w:rPr>
      <w:rFonts w:ascii="Tahoma" w:hAnsi="Tahoma" w:cs="Tahoma"/>
      <w:sz w:val="16"/>
      <w:szCs w:val="16"/>
    </w:rPr>
  </w:style>
  <w:style w:type="table" w:styleId="Tabelacomgrade">
    <w:name w:val="Table Grid"/>
    <w:basedOn w:val="Tabelanormal"/>
    <w:uiPriority w:val="59"/>
    <w:rsid w:val="0063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C57AB8"/>
    <w:pPr>
      <w:tabs>
        <w:tab w:val="left" w:pos="708"/>
      </w:tabs>
      <w:suppressAutoHyphens/>
    </w:pPr>
    <w:rPr>
      <w:rFonts w:ascii="Calibri" w:eastAsia="Arial Unicode MS"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50059">
      <w:bodyDiv w:val="1"/>
      <w:marLeft w:val="0"/>
      <w:marRight w:val="0"/>
      <w:marTop w:val="0"/>
      <w:marBottom w:val="0"/>
      <w:divBdr>
        <w:top w:val="none" w:sz="0" w:space="0" w:color="auto"/>
        <w:left w:val="none" w:sz="0" w:space="0" w:color="auto"/>
        <w:bottom w:val="none" w:sz="0" w:space="0" w:color="auto"/>
        <w:right w:val="none" w:sz="0" w:space="0" w:color="auto"/>
      </w:divBdr>
      <w:divsChild>
        <w:div w:id="124391126">
          <w:marLeft w:val="-108"/>
          <w:marRight w:val="0"/>
          <w:marTop w:val="0"/>
          <w:marBottom w:val="0"/>
          <w:divBdr>
            <w:top w:val="none" w:sz="0" w:space="0" w:color="auto"/>
            <w:left w:val="none" w:sz="0" w:space="0" w:color="auto"/>
            <w:bottom w:val="none" w:sz="0" w:space="0" w:color="auto"/>
            <w:right w:val="none" w:sz="0" w:space="0" w:color="auto"/>
          </w:divBdr>
        </w:div>
      </w:divsChild>
    </w:div>
    <w:div w:id="13199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5C4A-DF33-4519-8BB5-18C54E3B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2700</Words>
  <Characters>14580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EMC-058158</dc:creator>
  <cp:lastModifiedBy>Aildes Bassetti Cavalcante</cp:lastModifiedBy>
  <cp:revision>10</cp:revision>
  <cp:lastPrinted>2018-04-23T16:52:00Z</cp:lastPrinted>
  <dcterms:created xsi:type="dcterms:W3CDTF">2018-05-08T11:30:00Z</dcterms:created>
  <dcterms:modified xsi:type="dcterms:W3CDTF">2018-05-11T19:06:00Z</dcterms:modified>
</cp:coreProperties>
</file>